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DC" w:rsidRDefault="00B749DC" w:rsidP="00607972">
      <w:pPr>
        <w:keepNext/>
        <w:jc w:val="center"/>
        <w:rPr>
          <w:b/>
          <w:bCs/>
          <w:color w:val="008364"/>
          <w:lang w:val="pl-PL" w:bidi="pl-PL"/>
        </w:rPr>
      </w:pPr>
      <w:bookmarkStart w:id="0" w:name="_GoBack"/>
      <w:bookmarkEnd w:id="0"/>
      <w:r w:rsidRPr="00C93D77">
        <w:rPr>
          <w:b/>
          <w:bCs/>
          <w:color w:val="008364"/>
          <w:lang w:val="pl-PL" w:bidi="pl-PL"/>
        </w:rPr>
        <w:t>OGÓLNE INFORMACJE DOTYCZĄCE UMOWY KREDYTU HIPOTECZNEGO</w:t>
      </w:r>
      <w:r w:rsidR="00C94EEB">
        <w:rPr>
          <w:b/>
          <w:bCs/>
          <w:color w:val="008364"/>
          <w:lang w:val="pl-PL" w:bidi="pl-PL"/>
        </w:rPr>
        <w:t xml:space="preserve"> UKH</w:t>
      </w:r>
    </w:p>
    <w:p w:rsidR="00B749DC" w:rsidRPr="00536FE8" w:rsidRDefault="00B749DC" w:rsidP="00B749DC">
      <w:pPr>
        <w:pStyle w:val="Akapitzlist"/>
        <w:keepNext/>
        <w:numPr>
          <w:ilvl w:val="0"/>
          <w:numId w:val="1"/>
        </w:numPr>
        <w:rPr>
          <w:lang w:val="pl-PL"/>
        </w:rPr>
      </w:pPr>
      <w:r w:rsidRPr="00536FE8">
        <w:rPr>
          <w:b/>
          <w:lang w:val="pl-PL" w:bidi="pl-PL"/>
        </w:rPr>
        <w:t>Firma (nazwa), siedziba</w:t>
      </w:r>
      <w:r w:rsidRPr="00536FE8">
        <w:rPr>
          <w:lang w:val="pl-PL" w:bidi="pl-PL"/>
        </w:rPr>
        <w:t xml:space="preserve"> (miejsce zamieszkania) i adres podmiotu publikującego informację;</w:t>
      </w:r>
    </w:p>
    <w:p w:rsidR="00B749DC" w:rsidRPr="00F52B4D" w:rsidRDefault="00B749DC" w:rsidP="00B749DC">
      <w:pPr>
        <w:pStyle w:val="Akapitzlist"/>
        <w:keepNext/>
        <w:ind w:left="786"/>
        <w:rPr>
          <w:i/>
          <w:highlight w:val="yellow"/>
          <w:lang w:val="pl-PL"/>
        </w:rPr>
      </w:pPr>
    </w:p>
    <w:p w:rsidR="00B749DC" w:rsidRPr="00510665" w:rsidRDefault="00B749DC" w:rsidP="00B749DC">
      <w:pPr>
        <w:pStyle w:val="Akapitzlist"/>
        <w:keepNext/>
        <w:rPr>
          <w:b/>
          <w:i/>
          <w:lang w:val="pl-PL" w:bidi="pl-PL"/>
        </w:rPr>
      </w:pPr>
      <w:r w:rsidRPr="00510665">
        <w:rPr>
          <w:b/>
          <w:i/>
          <w:lang w:val="pl-PL" w:bidi="pl-PL"/>
        </w:rPr>
        <w:t>Ba</w:t>
      </w:r>
      <w:r w:rsidR="00510665" w:rsidRPr="00510665">
        <w:rPr>
          <w:b/>
          <w:i/>
          <w:lang w:val="pl-PL" w:bidi="pl-PL"/>
        </w:rPr>
        <w:t xml:space="preserve">nk Spółdzielczy w Pieńsku </w:t>
      </w:r>
    </w:p>
    <w:p w:rsidR="00B749DC" w:rsidRPr="00510665" w:rsidRDefault="00510665" w:rsidP="00B749DC">
      <w:pPr>
        <w:pStyle w:val="Akapitzlist"/>
        <w:keepNext/>
        <w:rPr>
          <w:b/>
          <w:i/>
          <w:lang w:val="pl-PL" w:bidi="pl-PL"/>
        </w:rPr>
      </w:pPr>
      <w:r w:rsidRPr="00510665">
        <w:rPr>
          <w:b/>
          <w:i/>
          <w:lang w:val="pl-PL" w:bidi="pl-PL"/>
        </w:rPr>
        <w:t>Ul. Staszica 20</w:t>
      </w:r>
    </w:p>
    <w:p w:rsidR="00B749DC" w:rsidRPr="00B07F19" w:rsidRDefault="00510665" w:rsidP="00B749DC">
      <w:pPr>
        <w:pStyle w:val="Akapitzlist"/>
        <w:keepNext/>
        <w:rPr>
          <w:b/>
          <w:i/>
          <w:lang w:val="pl-PL" w:bidi="pl-PL"/>
        </w:rPr>
      </w:pPr>
      <w:r w:rsidRPr="00510665">
        <w:rPr>
          <w:b/>
          <w:i/>
          <w:lang w:val="pl-PL" w:bidi="pl-PL"/>
        </w:rPr>
        <w:t>59-930 Pieńsk</w:t>
      </w: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spacing w:before="0"/>
        <w:ind w:left="788"/>
        <w:rPr>
          <w:rFonts w:ascii="Calibri" w:hAnsi="Calibri" w:cs="Calibri"/>
          <w:b/>
          <w:sz w:val="20"/>
          <w:szCs w:val="20"/>
          <w:lang w:val="pl-PL" w:bidi="pl-PL"/>
        </w:rPr>
      </w:pP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Cele, na które kredyt hipoteczny może zostać wykorzystany na:</w:t>
      </w:r>
    </w:p>
    <w:p w:rsidR="00181EE0" w:rsidRPr="008D21F1" w:rsidRDefault="00181EE0" w:rsidP="00181EE0">
      <w:pPr>
        <w:pStyle w:val="Akapitzlist"/>
        <w:keepNext/>
        <w:spacing w:before="0"/>
        <w:ind w:left="788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b/>
          <w:i/>
          <w:color w:val="008364"/>
          <w:sz w:val="20"/>
          <w:szCs w:val="20"/>
          <w:lang w:val="pl-PL" w:bidi="pl-PL"/>
        </w:rPr>
        <w:t>Uniwersalny Kredyt Hipoteczny (UKH) zabezpieczony hipoteką przeznaczony na spłatę następujących zobowiązań:</w:t>
      </w:r>
      <w:r w:rsidRPr="008D21F1">
        <w:rPr>
          <w:rFonts w:ascii="Calibri" w:hAnsi="Calibri" w:cs="Calibri"/>
          <w:i/>
          <w:color w:val="008364"/>
          <w:sz w:val="20"/>
          <w:szCs w:val="20"/>
          <w:lang w:val="pl-PL" w:bidi="pl-PL"/>
        </w:rPr>
        <w:t xml:space="preserve"> 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cel dowolny </w:t>
      </w:r>
    </w:p>
    <w:p w:rsidR="00181EE0" w:rsidRPr="008D21F1" w:rsidRDefault="00181EE0" w:rsidP="00181EE0">
      <w:pPr>
        <w:pStyle w:val="Akapitzlist"/>
        <w:keepNext/>
        <w:spacing w:before="0"/>
        <w:ind w:left="1440"/>
        <w:rPr>
          <w:rFonts w:ascii="Calibri" w:hAnsi="Calibri" w:cs="Calibri"/>
          <w:i/>
          <w:sz w:val="20"/>
          <w:szCs w:val="20"/>
          <w:lang w:val="pl-PL" w:bidi="pl-PL"/>
        </w:rPr>
      </w:pP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spacing w:before="0"/>
        <w:rPr>
          <w:rFonts w:ascii="Calibri" w:hAnsi="Calibri" w:cs="Calibri"/>
          <w:sz w:val="20"/>
          <w:szCs w:val="20"/>
          <w:lang w:val="pl-PL" w:bidi="pl-PL"/>
        </w:rPr>
      </w:pP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Formy zabezpieczenia, w tym wskazanie możliwości, że przedmiot zabezpieczenia może znajdować się w innym niż Rzeczpospolita Polska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 państwie członkowskim, o ile t</w:t>
      </w:r>
      <w:r>
        <w:rPr>
          <w:rFonts w:ascii="Calibri" w:hAnsi="Calibri" w:cs="Calibri"/>
          <w:sz w:val="20"/>
          <w:szCs w:val="20"/>
          <w:lang w:val="pl-PL" w:bidi="pl-PL"/>
        </w:rPr>
        <w:t xml:space="preserve">aka możliwość jest 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przewidziana: </w:t>
      </w:r>
    </w:p>
    <w:p w:rsidR="00181EE0" w:rsidRPr="008D21F1" w:rsidRDefault="00181EE0" w:rsidP="00181EE0">
      <w:pPr>
        <w:pStyle w:val="Akapitzlist"/>
        <w:keepNext/>
        <w:tabs>
          <w:tab w:val="left" w:pos="2010"/>
        </w:tabs>
        <w:spacing w:before="0"/>
        <w:rPr>
          <w:rFonts w:ascii="Calibri" w:hAnsi="Calibri" w:cs="Calibri"/>
          <w:b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b/>
          <w:i/>
          <w:color w:val="008364"/>
          <w:sz w:val="20"/>
          <w:szCs w:val="20"/>
          <w:lang w:val="pl-PL" w:bidi="pl-PL"/>
        </w:rPr>
        <w:t>Prawne zabezpieczenie spłaty kredytu:</w:t>
      </w:r>
      <w:r w:rsidRPr="008D21F1">
        <w:rPr>
          <w:rFonts w:ascii="Calibri" w:hAnsi="Calibri" w:cs="Calibri"/>
          <w:b/>
          <w:i/>
          <w:color w:val="008364"/>
          <w:sz w:val="20"/>
          <w:szCs w:val="20"/>
          <w:lang w:val="pl-PL" w:bidi="pl-PL"/>
        </w:rPr>
        <w:tab/>
      </w:r>
      <w:r w:rsidRPr="008D21F1">
        <w:rPr>
          <w:rFonts w:ascii="Calibri" w:hAnsi="Calibri" w:cs="Calibri"/>
          <w:b/>
          <w:i/>
          <w:sz w:val="20"/>
          <w:szCs w:val="20"/>
          <w:lang w:val="pl-PL" w:bidi="pl-PL"/>
        </w:rPr>
        <w:tab/>
      </w:r>
    </w:p>
    <w:p w:rsidR="00181EE0" w:rsidRPr="008D21F1" w:rsidRDefault="00181EE0" w:rsidP="00181EE0">
      <w:pPr>
        <w:pStyle w:val="Akapitzlist"/>
        <w:keepNext/>
        <w:numPr>
          <w:ilvl w:val="0"/>
          <w:numId w:val="21"/>
        </w:numPr>
        <w:tabs>
          <w:tab w:val="left" w:pos="2010"/>
        </w:tabs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weksel in blanco Kredytobiorcy wystawiony na rzecz Banku wraz z deklaracją wekslową;</w:t>
      </w:r>
    </w:p>
    <w:p w:rsidR="00181EE0" w:rsidRPr="008D21F1" w:rsidRDefault="00181EE0" w:rsidP="00181EE0">
      <w:pPr>
        <w:pStyle w:val="Akapitzlist"/>
        <w:keepNext/>
        <w:numPr>
          <w:ilvl w:val="0"/>
          <w:numId w:val="21"/>
        </w:numPr>
        <w:tabs>
          <w:tab w:val="left" w:pos="2010"/>
        </w:tabs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hipoteka ustanawiana na rzecz Banku w księdze wieczystej prowadzonej dla nieruchomości, stanowiącej przedmiot zabezpieczenia spłaty kredytu. Przedmiot zabezpieczenia spłaty kredytu musi stanowić nieruchomość, na zakup lub zabudowę, której Bank udziela kredytu położonej na terenie Rzeczypospolitej Polskiej;</w:t>
      </w:r>
    </w:p>
    <w:p w:rsidR="00181EE0" w:rsidRPr="008D21F1" w:rsidRDefault="00181EE0" w:rsidP="00181EE0">
      <w:pPr>
        <w:pStyle w:val="Akapitzlist"/>
        <w:keepNext/>
        <w:numPr>
          <w:ilvl w:val="0"/>
          <w:numId w:val="21"/>
        </w:numPr>
        <w:tabs>
          <w:tab w:val="left" w:pos="2010"/>
        </w:tabs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cesja praw na rzecz Banku z umowy  ubezpieczenia nieruchomości ZU w ramach oferty dostępnej w Banku lub spoza oferty Banku stanowiącej przedmiot zabezpieczenia od ognia </w:t>
      </w:r>
      <w:r>
        <w:rPr>
          <w:rFonts w:ascii="Calibri" w:hAnsi="Calibri" w:cs="Calibri"/>
          <w:i/>
          <w:sz w:val="20"/>
          <w:szCs w:val="20"/>
          <w:lang w:val="pl-PL" w:bidi="pl-PL"/>
        </w:rPr>
        <w:t xml:space="preserve">              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i innych zdarzeń losowych;</w:t>
      </w:r>
    </w:p>
    <w:p w:rsidR="00181EE0" w:rsidRPr="008D21F1" w:rsidRDefault="00181EE0" w:rsidP="00181EE0">
      <w:pPr>
        <w:pStyle w:val="Akapitzlist"/>
        <w:keepNext/>
        <w:numPr>
          <w:ilvl w:val="0"/>
          <w:numId w:val="21"/>
        </w:numPr>
        <w:tabs>
          <w:tab w:val="left" w:pos="2010"/>
        </w:tabs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pełnomocnictwo do rachunku oszczędnościowo-rozliczeniowego prowadzonego przez Bank dla Kredytobiorcy, o ile Kredytobiorca wskaże we  wniosku o kredyt, że spłata kredytu oraz pobieranie opłat i prowizji związanych z postanowieniami umowy kredytowej będzie odbywać się z w/w rachunku.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ab/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ab/>
      </w:r>
    </w:p>
    <w:p w:rsidR="00181EE0" w:rsidRPr="008D21F1" w:rsidRDefault="00181EE0" w:rsidP="00181EE0">
      <w:pPr>
        <w:pStyle w:val="Akapitzlist"/>
        <w:keepNext/>
        <w:tabs>
          <w:tab w:val="left" w:pos="2010"/>
        </w:tabs>
        <w:spacing w:before="0"/>
        <w:rPr>
          <w:rFonts w:ascii="Calibri" w:hAnsi="Calibri" w:cs="Calibri"/>
          <w:b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b/>
          <w:i/>
          <w:color w:val="008364"/>
          <w:sz w:val="20"/>
          <w:szCs w:val="20"/>
          <w:lang w:val="pl-PL" w:bidi="pl-PL"/>
        </w:rPr>
        <w:t>Zabezpieczenie do czasu ustanowienia hipoteki ( do wyboru):</w:t>
      </w:r>
      <w:r w:rsidRPr="008D21F1">
        <w:rPr>
          <w:rFonts w:ascii="Calibri" w:hAnsi="Calibri" w:cs="Calibri"/>
          <w:b/>
          <w:i/>
          <w:color w:val="008364"/>
          <w:sz w:val="20"/>
          <w:szCs w:val="20"/>
          <w:lang w:val="pl-PL" w:bidi="pl-PL"/>
        </w:rPr>
        <w:tab/>
      </w:r>
      <w:r w:rsidRPr="008D21F1">
        <w:rPr>
          <w:rFonts w:ascii="Calibri" w:hAnsi="Calibri" w:cs="Calibri"/>
          <w:b/>
          <w:i/>
          <w:color w:val="008364"/>
          <w:sz w:val="20"/>
          <w:szCs w:val="20"/>
          <w:lang w:val="pl-PL" w:bidi="pl-PL"/>
        </w:rPr>
        <w:tab/>
      </w:r>
      <w:r w:rsidRPr="008D21F1">
        <w:rPr>
          <w:rFonts w:ascii="Calibri" w:hAnsi="Calibri" w:cs="Calibri"/>
          <w:b/>
          <w:i/>
          <w:sz w:val="20"/>
          <w:szCs w:val="20"/>
          <w:lang w:val="pl-PL" w:bidi="pl-PL"/>
        </w:rPr>
        <w:tab/>
      </w:r>
    </w:p>
    <w:p w:rsidR="00181EE0" w:rsidRPr="008D21F1" w:rsidRDefault="00181EE0" w:rsidP="00181EE0">
      <w:pPr>
        <w:pStyle w:val="Akapitzlist"/>
        <w:keepNext/>
        <w:numPr>
          <w:ilvl w:val="0"/>
          <w:numId w:val="10"/>
        </w:numPr>
        <w:tabs>
          <w:tab w:val="left" w:pos="2010"/>
        </w:tabs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poręcznie wekslowe</w:t>
      </w:r>
    </w:p>
    <w:p w:rsidR="00181EE0" w:rsidRPr="008D21F1" w:rsidRDefault="00181EE0" w:rsidP="00181EE0">
      <w:pPr>
        <w:pStyle w:val="Akapitzlist"/>
        <w:keepNext/>
        <w:numPr>
          <w:ilvl w:val="0"/>
          <w:numId w:val="10"/>
        </w:numPr>
        <w:tabs>
          <w:tab w:val="left" w:pos="2010"/>
        </w:tabs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kaucja pieniężna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ab/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ab/>
      </w:r>
    </w:p>
    <w:p w:rsidR="00181EE0" w:rsidRPr="008D21F1" w:rsidRDefault="00181EE0" w:rsidP="00181EE0">
      <w:pPr>
        <w:pStyle w:val="Akapitzlist"/>
        <w:keepNext/>
        <w:numPr>
          <w:ilvl w:val="0"/>
          <w:numId w:val="10"/>
        </w:numPr>
        <w:tabs>
          <w:tab w:val="left" w:pos="2010"/>
        </w:tabs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blokada środków pieniężnych na rachunku</w:t>
      </w:r>
    </w:p>
    <w:p w:rsidR="00181EE0" w:rsidRPr="008D21F1" w:rsidRDefault="00181EE0" w:rsidP="00181EE0">
      <w:pPr>
        <w:pStyle w:val="Akapitzlist"/>
        <w:keepNext/>
        <w:numPr>
          <w:ilvl w:val="0"/>
          <w:numId w:val="10"/>
        </w:numPr>
        <w:tabs>
          <w:tab w:val="left" w:pos="2010"/>
        </w:tabs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podwyższenie marży kredytu</w:t>
      </w:r>
    </w:p>
    <w:p w:rsidR="00181EE0" w:rsidRPr="008D21F1" w:rsidRDefault="00181EE0" w:rsidP="00181EE0">
      <w:pPr>
        <w:pStyle w:val="Akapitzlist"/>
        <w:keepNext/>
        <w:tabs>
          <w:tab w:val="left" w:pos="2010"/>
        </w:tabs>
        <w:spacing w:before="0"/>
        <w:rPr>
          <w:rFonts w:ascii="Calibri" w:hAnsi="Calibri" w:cs="Calibri"/>
          <w:sz w:val="20"/>
          <w:szCs w:val="20"/>
          <w:lang w:val="pl-PL" w:bidi="pl-PL"/>
        </w:rPr>
      </w:pP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tabs>
          <w:tab w:val="left" w:pos="2010"/>
        </w:tabs>
        <w:spacing w:before="0"/>
        <w:rPr>
          <w:rFonts w:ascii="Calibri" w:hAnsi="Calibri" w:cs="Calibri"/>
          <w:sz w:val="20"/>
          <w:szCs w:val="20"/>
          <w:lang w:val="pl-PL" w:bidi="pl-PL"/>
        </w:rPr>
      </w:pP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Okres, na jaki </w:t>
      </w: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może być zawarta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 umowa o kredyt hipoteczny;</w:t>
      </w:r>
    </w:p>
    <w:p w:rsidR="00181EE0" w:rsidRPr="008D21F1" w:rsidRDefault="00181EE0" w:rsidP="00181EE0">
      <w:pPr>
        <w:pStyle w:val="Akapitzlist"/>
        <w:keepNext/>
        <w:tabs>
          <w:tab w:val="left" w:pos="1080"/>
        </w:tabs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Okres kredytowania wynosi :  od 1 roku do 15 lat </w:t>
      </w:r>
    </w:p>
    <w:p w:rsidR="00181EE0" w:rsidRPr="008D21F1" w:rsidRDefault="00181EE0" w:rsidP="00181EE0">
      <w:pPr>
        <w:keepNext/>
        <w:tabs>
          <w:tab w:val="left" w:pos="2010"/>
        </w:tabs>
        <w:spacing w:before="0"/>
        <w:rPr>
          <w:rFonts w:ascii="Calibri" w:hAnsi="Calibri" w:cs="Calibri"/>
          <w:sz w:val="20"/>
          <w:szCs w:val="20"/>
          <w:lang w:val="pl-PL" w:bidi="pl-PL"/>
        </w:rPr>
      </w:pP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tabs>
          <w:tab w:val="left" w:pos="1080"/>
        </w:tabs>
        <w:spacing w:before="0"/>
        <w:rPr>
          <w:rFonts w:ascii="Calibri" w:hAnsi="Calibri" w:cs="Calibri"/>
          <w:b/>
          <w:sz w:val="20"/>
          <w:szCs w:val="20"/>
          <w:lang w:val="pl-PL" w:bidi="pl-PL"/>
        </w:rPr>
      </w:pP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W przypadku umów o kredyt hipoteczny, w których stosuje się jako odniesienie wskaźnik referencyjny - nazwy wskaźników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 referencyjnych i ich administratorów, o których mowa w art. 3 ust. 1 pkt 6 rozporządzenia Parlamentu Europejskiego i Rady (UE) 2016/1011 z dnia 8 czerwca 2016 r. w sprawie indeksów stosowanych jako wskaźniki referencyjne w instrumentach finansowych i umowach finansowych lub do pomiaru wyników funduszy inwestycyjnych i zmieniającego dyrektywy 2008/48/WE i 2014/17/UE oraz rozporządzenie (UE) nr 596/2014, oraz informację o potencjalnyc</w:t>
      </w:r>
      <w:r>
        <w:rPr>
          <w:rFonts w:ascii="Calibri" w:hAnsi="Calibri" w:cs="Calibri"/>
          <w:sz w:val="20"/>
          <w:szCs w:val="20"/>
          <w:lang w:val="pl-PL" w:bidi="pl-PL"/>
        </w:rPr>
        <w:t xml:space="preserve">h 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>k</w:t>
      </w:r>
      <w:r>
        <w:rPr>
          <w:rFonts w:ascii="Calibri" w:hAnsi="Calibri" w:cs="Calibri"/>
          <w:sz w:val="20"/>
          <w:szCs w:val="20"/>
          <w:lang w:val="pl-PL" w:bidi="pl-PL"/>
        </w:rPr>
        <w:t xml:space="preserve">onsekwencjach dla konsumenta:    </w:t>
      </w:r>
      <w:r w:rsidRPr="008D21F1">
        <w:rPr>
          <w:rFonts w:ascii="Calibri" w:hAnsi="Calibri" w:cs="Calibri"/>
          <w:b/>
          <w:i/>
          <w:sz w:val="20"/>
          <w:szCs w:val="20"/>
          <w:lang w:val="pl-PL"/>
        </w:rPr>
        <w:t>nie dotyczy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spacing w:before="0"/>
        <w:rPr>
          <w:rFonts w:ascii="Calibri" w:hAnsi="Calibri" w:cs="Calibri"/>
          <w:sz w:val="20"/>
          <w:szCs w:val="20"/>
          <w:lang w:val="pl-PL"/>
        </w:rPr>
      </w:pP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Rodzaje dostępnej stopy oprocentowania kredytu hipotecznego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 ze wskazaniem, czy jest to stała stopa oprocentowania kredytu hipotecznego, zmienna, </w:t>
      </w: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czy stanowiąca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 połączenie obu rodzajów oprocentowania, wraz z krótką charakterystyką stałej stopy oprocentowania kredytu hipotecznego i stopy zmiennej, w tym informacją o związanych z tym konsekwencjach dla konsumenta:</w:t>
      </w:r>
    </w:p>
    <w:p w:rsidR="00181EE0" w:rsidRPr="008D21F1" w:rsidRDefault="00181EE0" w:rsidP="00181EE0">
      <w:pPr>
        <w:pStyle w:val="Akapitzlist"/>
        <w:keepNext/>
        <w:numPr>
          <w:ilvl w:val="0"/>
          <w:numId w:val="22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 xml:space="preserve">Kredyt oprocentowany jest według zmiennej stopy procentowej, stanowiącej sumę stopy referencyjnej i marży Banku.  stopą referencyjną jest stawka WIBOR 3M,  </w:t>
      </w:r>
      <w:r w:rsidRPr="008D21F1">
        <w:rPr>
          <w:rFonts w:ascii="Calibri" w:hAnsi="Calibri" w:cs="Calibri"/>
          <w:i/>
          <w:sz w:val="20"/>
          <w:szCs w:val="20"/>
          <w:lang w:val="x-none"/>
        </w:rPr>
        <w:t>obliczona jako średnia arytmetyczna z miesiąca poprzedzającego okres jej obowiązywania;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x-none"/>
        </w:rPr>
        <w:t xml:space="preserve">Okresy 3-miesięczne, w których obowiązuje określona wysokość stopy procentowej, zgodne są z kwartałami kalendarzowymi; pierwszy okres obowiązywania ustalonej stopy oprocentowania </w:t>
      </w:r>
      <w:r w:rsidRPr="008D21F1">
        <w:rPr>
          <w:rFonts w:ascii="Calibri" w:hAnsi="Calibri" w:cs="Calibri"/>
          <w:i/>
          <w:sz w:val="20"/>
          <w:szCs w:val="20"/>
          <w:lang w:val="x-none"/>
        </w:rPr>
        <w:lastRenderedPageBreak/>
        <w:t>rozpoczyna się z dniem uruchomienia kredytu, a kończy z ostatnim dniem kwartału kalendarzowego, w którym nastąpiło uruchomienie kredytu; ostatni okres obowiązywania ustalonej stopy oprocentowania rozpoczyna się z pierwszym dniem kwartału kalendarzowego, w którym przypada ostateczny termin spłaty kredytu, a kończy z dniem poprzedzającym ostateczny termin spłaty kredytu.</w:t>
      </w:r>
    </w:p>
    <w:p w:rsidR="00181EE0" w:rsidRPr="008D21F1" w:rsidRDefault="00181EE0" w:rsidP="00181EE0">
      <w:pPr>
        <w:pStyle w:val="Akapitzlist"/>
        <w:keepNext/>
        <w:spacing w:before="0"/>
        <w:ind w:left="786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 xml:space="preserve">Stopa oprocentowania kredytu zmienia się wraz ze zmianą stopy referencyjnej Banku Spółdzielczego w Pieńsku.  Marżę Banku określa Tabela oprocentowania kredytów Banku Spółdzielczego w Pieńsku z zastrzeżeniem że Bank podwyższa marżę kredytu dodatkowo o 1,00 </w:t>
      </w:r>
      <w:proofErr w:type="spellStart"/>
      <w:r w:rsidRPr="008D21F1">
        <w:rPr>
          <w:rFonts w:ascii="Calibri" w:hAnsi="Calibri" w:cs="Calibri"/>
          <w:i/>
          <w:sz w:val="20"/>
          <w:szCs w:val="20"/>
          <w:lang w:val="pl-PL"/>
        </w:rPr>
        <w:t>p.p</w:t>
      </w:r>
      <w:proofErr w:type="spellEnd"/>
      <w:r w:rsidRPr="008D21F1">
        <w:rPr>
          <w:rFonts w:ascii="Calibri" w:hAnsi="Calibri" w:cs="Calibri"/>
          <w:i/>
          <w:sz w:val="20"/>
          <w:szCs w:val="20"/>
          <w:lang w:val="pl-PL"/>
        </w:rPr>
        <w:t>. :</w:t>
      </w:r>
    </w:p>
    <w:p w:rsidR="00181EE0" w:rsidRPr="008D21F1" w:rsidRDefault="00181EE0" w:rsidP="00181EE0">
      <w:pPr>
        <w:pStyle w:val="Akapitzlist"/>
        <w:keepNext/>
        <w:numPr>
          <w:ilvl w:val="0"/>
          <w:numId w:val="12"/>
        </w:numPr>
        <w:tabs>
          <w:tab w:val="left" w:pos="2010"/>
        </w:tabs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w przypadku nieprzedstawienia zabezpieczenia przejściowego (podwyższa się marżę do dnia dokonania prawomocnego wpisu hipoteki na rzecz Banku).</w:t>
      </w:r>
    </w:p>
    <w:p w:rsidR="00181EE0" w:rsidRPr="008D21F1" w:rsidRDefault="00181EE0" w:rsidP="00181EE0">
      <w:pPr>
        <w:pStyle w:val="Akapitzlist"/>
        <w:keepNext/>
        <w:spacing w:before="0"/>
        <w:ind w:left="786"/>
        <w:rPr>
          <w:rFonts w:ascii="Calibri" w:hAnsi="Calibri" w:cs="Calibri"/>
          <w:i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spacing w:before="0"/>
        <w:ind w:left="786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Aktualna Tabela oprocentowania oraz informacje na temat wskaźników referencyjnych dostępne są dla Państwa na stronie internetowej Banku (</w:t>
      </w:r>
      <w:r w:rsidR="00607972">
        <w:fldChar w:fldCharType="begin"/>
      </w:r>
      <w:r w:rsidR="00607972" w:rsidRPr="00607972">
        <w:rPr>
          <w:lang w:val="pl-PL"/>
        </w:rPr>
        <w:instrText xml:space="preserve"> HYPERLINK "http://www.bspiensk.pl" </w:instrText>
      </w:r>
      <w:r w:rsidR="00607972">
        <w:fldChar w:fldCharType="separate"/>
      </w:r>
      <w:r w:rsidRPr="008D21F1">
        <w:rPr>
          <w:rStyle w:val="Hipercze"/>
          <w:rFonts w:ascii="Calibri" w:hAnsi="Calibri" w:cs="Calibri"/>
          <w:i/>
          <w:sz w:val="20"/>
          <w:szCs w:val="20"/>
          <w:lang w:val="pl-PL"/>
        </w:rPr>
        <w:t>www.bspiensk.pl</w:t>
      </w:r>
      <w:r w:rsidR="00607972">
        <w:rPr>
          <w:rStyle w:val="Hipercze"/>
          <w:rFonts w:ascii="Calibri" w:hAnsi="Calibri" w:cs="Calibri"/>
          <w:i/>
          <w:sz w:val="20"/>
          <w:szCs w:val="20"/>
          <w:lang w:val="pl-PL"/>
        </w:rPr>
        <w:fldChar w:fldCharType="end"/>
      </w:r>
      <w:r w:rsidRPr="008D21F1">
        <w:rPr>
          <w:rFonts w:ascii="Calibri" w:hAnsi="Calibri" w:cs="Calibri"/>
          <w:i/>
          <w:sz w:val="20"/>
          <w:szCs w:val="20"/>
          <w:lang w:val="pl-PL"/>
        </w:rPr>
        <w:t>).</w:t>
      </w:r>
    </w:p>
    <w:p w:rsidR="00181EE0" w:rsidRPr="008D21F1" w:rsidRDefault="00181EE0" w:rsidP="00181EE0">
      <w:pPr>
        <w:pStyle w:val="Akapitzlist"/>
        <w:keepNext/>
        <w:spacing w:before="0"/>
        <w:ind w:left="786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 xml:space="preserve"> </w:t>
      </w:r>
    </w:p>
    <w:p w:rsidR="00181EE0" w:rsidRPr="008D21F1" w:rsidRDefault="00181EE0" w:rsidP="00181EE0">
      <w:pPr>
        <w:pStyle w:val="Akapitzlist"/>
        <w:keepNext/>
        <w:spacing w:before="0"/>
        <w:ind w:left="786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 xml:space="preserve">Kredytobiorca zaciągający kredyt hipoteczny narażony jest na ponoszenie określonych </w:t>
      </w:r>
      <w:proofErr w:type="spellStart"/>
      <w:r w:rsidRPr="008D21F1">
        <w:rPr>
          <w:rFonts w:ascii="Calibri" w:hAnsi="Calibri" w:cs="Calibri"/>
          <w:i/>
          <w:sz w:val="20"/>
          <w:szCs w:val="20"/>
          <w:lang w:val="pl-PL"/>
        </w:rPr>
        <w:t>ryzyk</w:t>
      </w:r>
      <w:proofErr w:type="spellEnd"/>
      <w:r w:rsidRPr="008D21F1">
        <w:rPr>
          <w:rFonts w:ascii="Calibri" w:hAnsi="Calibri" w:cs="Calibri"/>
          <w:i/>
          <w:sz w:val="20"/>
          <w:szCs w:val="20"/>
          <w:lang w:val="pl-PL"/>
        </w:rPr>
        <w:t xml:space="preserve">. </w:t>
      </w:r>
    </w:p>
    <w:p w:rsidR="00181EE0" w:rsidRPr="008D21F1" w:rsidRDefault="00181EE0" w:rsidP="00181EE0">
      <w:pPr>
        <w:pStyle w:val="Akapitzlist"/>
        <w:keepNext/>
        <w:spacing w:before="0"/>
        <w:ind w:left="786"/>
        <w:rPr>
          <w:rFonts w:ascii="Calibri" w:hAnsi="Calibri" w:cs="Calibri"/>
          <w:i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spacing w:before="0"/>
        <w:ind w:left="786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Każdy kredyt hipoteczny o zmiennym oprocentowaniu jest obciążony ryzykiem stopy procentowej oraz ryzykiem zmiany cen rynkowych nieruchomości.</w:t>
      </w:r>
    </w:p>
    <w:p w:rsidR="00181EE0" w:rsidRPr="008D21F1" w:rsidRDefault="00181EE0" w:rsidP="00181EE0">
      <w:pPr>
        <w:pStyle w:val="Akapitzlist"/>
        <w:keepNext/>
        <w:spacing w:before="0"/>
        <w:ind w:left="786"/>
        <w:rPr>
          <w:rFonts w:ascii="Calibri" w:hAnsi="Calibri" w:cs="Calibri"/>
          <w:i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spacing w:before="0"/>
        <w:ind w:left="786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Zmiany stopy procentowej będą powodować zmiany wysokości raty kredytu oprocentowanego według zmiennej stopy procentowej. Z tego względu, przy podejmowaniu decyzji, szczególnie dotyczących wieloletniego kredytu hipotecznego, Kredytobiorca powinien brać pod uwagę długoterminowy trend na rynku, a nie tylko krótkotrwałe wahania stopy procentowej. Przed zawarciem umowy Bank informuje Klientów o kosztach i ryzykach związanych z kredytem. Ryzyko podjęcia decyzji i jej konsekwencji spoczywa na Kredytobiorcy, pozostanie związany umową, zgodnie z którą przez kilka, kilkanaście albo kilkadziesiąt lat będzie spłacał raty kredytu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b/>
          <w:i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spacing w:before="0"/>
        <w:rPr>
          <w:rFonts w:ascii="Calibri" w:hAnsi="Calibri" w:cs="Calibri"/>
          <w:sz w:val="20"/>
          <w:szCs w:val="20"/>
          <w:lang w:val="pl-PL"/>
        </w:rPr>
      </w:pP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W przypadku umów o kredyt hipoteczny w walucie obcej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 - wskazanie danej waluty wraz z informacją o konsekwencjach denominowania lub indeksowania tego kredytu dla konsumenta oraz ryzyku walutowym związanym z tym kredytem:</w:t>
      </w:r>
      <w:r w:rsidRPr="008D21F1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D21F1">
        <w:rPr>
          <w:rFonts w:ascii="Calibri" w:hAnsi="Calibri" w:cs="Calibri"/>
          <w:i/>
          <w:sz w:val="20"/>
          <w:szCs w:val="20"/>
          <w:lang w:val="pl-PL"/>
        </w:rPr>
        <w:t>nie dotyczy</w:t>
      </w:r>
    </w:p>
    <w:p w:rsidR="00181EE0" w:rsidRPr="008D21F1" w:rsidRDefault="00181EE0" w:rsidP="00181EE0">
      <w:pPr>
        <w:pStyle w:val="Akapitzlist"/>
        <w:keepNext/>
        <w:tabs>
          <w:tab w:val="left" w:pos="1710"/>
        </w:tabs>
        <w:spacing w:before="0"/>
        <w:ind w:left="786"/>
        <w:rPr>
          <w:rFonts w:ascii="Calibri" w:hAnsi="Calibri" w:cs="Calibri"/>
          <w:b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tabs>
          <w:tab w:val="left" w:pos="1710"/>
        </w:tabs>
        <w:spacing w:before="0"/>
        <w:rPr>
          <w:rFonts w:ascii="Calibri" w:hAnsi="Calibri" w:cs="Calibri"/>
          <w:b/>
          <w:sz w:val="20"/>
          <w:szCs w:val="20"/>
          <w:lang w:val="pl-PL"/>
        </w:rPr>
      </w:pP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Reprezentatywny przykład całkowitej kwoty kredytu hipotecznego, całkowitego kosztu kredytu hipotecznego, całkowitej kwoty do zapłaty przez konsumenta oraz rzeczywistej rocznej stopy oprocentowania:</w:t>
      </w:r>
    </w:p>
    <w:p w:rsidR="00181EE0" w:rsidRPr="008D21F1" w:rsidRDefault="00181EE0" w:rsidP="00181EE0">
      <w:pPr>
        <w:keepNext/>
        <w:spacing w:before="0"/>
        <w:ind w:left="786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Rzeczywista Roczna Stopa Oprocentowania (RRSO) wynosi: 7,07 % dla następujących założeń: całkowita kwota kredytu: 40 000 PLN, okres kredytowania: 60 miesięcy; wkład własny: 0% wartości nieruchomości;  oprocentowanie kredytu: 5,73 % w skali roku – wyliczone jako suma aktualnej stopy bazowej kredytu (stopa zmienna WIBOR 3M: 1.73 %) i marży Banku w wysokości 4%, obliczona po ustanowieniu zabezpieczenia w postaci hipoteki na kredytowanej nieruchomości (do czasu ustanowienia hipoteki Bank podwyższana marżę kredytu o 1,00 </w:t>
      </w:r>
      <w:proofErr w:type="spellStart"/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p.p</w:t>
      </w:r>
      <w:proofErr w:type="spellEnd"/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.)  Malejąca rata miesięczna: 894,38 PLN, łączna liczba rat: 60.  Całkowity</w:t>
      </w:r>
      <w:r>
        <w:rPr>
          <w:rFonts w:ascii="Calibri" w:hAnsi="Calibri" w:cs="Calibri"/>
          <w:i/>
          <w:sz w:val="20"/>
          <w:szCs w:val="20"/>
          <w:lang w:val="pl-PL" w:bidi="pl-PL"/>
        </w:rPr>
        <w:t xml:space="preserve"> koszt kredytu 6 836,67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 PLN, w tym: suma odsetek w cały</w:t>
      </w:r>
      <w:r>
        <w:rPr>
          <w:rFonts w:ascii="Calibri" w:hAnsi="Calibri" w:cs="Calibri"/>
          <w:i/>
          <w:sz w:val="20"/>
          <w:szCs w:val="20"/>
          <w:lang w:val="pl-PL" w:bidi="pl-PL"/>
        </w:rPr>
        <w:t>m okresie kredytowania: 5 817,67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 PLN, prowizja nie kredytowana za udzielenie kredytu: 2,00 % kwoty udzielonego kredytu wynosząca:  800 PLN. Koszt ustanowienia hipoteki: 200,00 PLN, podatek od czynności cywilno-prawnych (PCC1 ): 19,00 PLN.  W całkowitym koszcie kredytu Bank nie uwzględnia następujących kosztów: kosztu ubezpieczenia  nieruchomości będącej zabezpieczeniem kredytu  spoza oferty Banku oraz kosztu wyceny nieruchomości, gdyż nie jest dostawcą tych usług dodatkowych dla konsumenta.  Całkowita kw</w:t>
      </w:r>
      <w:r>
        <w:rPr>
          <w:rFonts w:ascii="Calibri" w:hAnsi="Calibri" w:cs="Calibri"/>
          <w:i/>
          <w:sz w:val="20"/>
          <w:szCs w:val="20"/>
          <w:lang w:val="pl-PL" w:bidi="pl-PL"/>
        </w:rPr>
        <w:t>ota do zapłaty wynosi: 46 836,67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 PLN.</w:t>
      </w:r>
    </w:p>
    <w:p w:rsidR="00181EE0" w:rsidRPr="008D21F1" w:rsidRDefault="00181EE0" w:rsidP="00181EE0">
      <w:pPr>
        <w:keepNext/>
        <w:spacing w:before="0"/>
        <w:ind w:left="786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Oprocentowanie kredytu jest zmienne i w okresie obowiązywania umowy kredytu może ulec podwyższeniu w związku ze wzrostem stopy referencyjnej WIBOR 3M, co spowoduje podwyższenie kwoty spłacanej raty kredytu . </w:t>
      </w:r>
    </w:p>
    <w:p w:rsidR="00181EE0" w:rsidRPr="008D21F1" w:rsidRDefault="00181EE0" w:rsidP="00181EE0">
      <w:pPr>
        <w:keepNext/>
        <w:spacing w:before="0"/>
        <w:ind w:left="786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Wyliczenia reprezentatywne dla kredytu hipotecznego UKH na </w:t>
      </w:r>
      <w:r>
        <w:rPr>
          <w:rFonts w:ascii="Calibri" w:hAnsi="Calibri" w:cs="Calibri"/>
          <w:i/>
          <w:sz w:val="20"/>
          <w:szCs w:val="20"/>
          <w:lang w:val="pl-PL" w:bidi="pl-PL"/>
        </w:rPr>
        <w:t>09 sierpnia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 2017 r.</w:t>
      </w: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spacing w:before="0"/>
        <w:rPr>
          <w:rFonts w:ascii="Calibri" w:hAnsi="Calibri" w:cs="Calibri"/>
          <w:sz w:val="20"/>
          <w:szCs w:val="20"/>
          <w:lang w:val="pl-PL" w:bidi="pl-PL"/>
        </w:rPr>
      </w:pP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Wskazanie możliwych innych kosztów nieujętych w całkowitym koszcie kredytu hipotecznego,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 które konsument może </w:t>
      </w: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ponieść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 w związku z umową o kredyt hipoteczny, i prognozowaną maksymalną wysokość tych kosztów;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lastRenderedPageBreak/>
        <w:t xml:space="preserve">Następujące koszty nie są znane kredytodawcy i dlatego nie są ujęte w RRSO: </w:t>
      </w:r>
    </w:p>
    <w:p w:rsidR="00181EE0" w:rsidRPr="008D21F1" w:rsidRDefault="00181EE0" w:rsidP="00181EE0">
      <w:pPr>
        <w:pStyle w:val="Akapitzlist"/>
        <w:keepNext/>
        <w:numPr>
          <w:ilvl w:val="0"/>
          <w:numId w:val="13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koszt wyceny nieruchomości – Bank Spółdzielczy w Pieńsku nie jest dostawcą tej usługi dodatkowej dla konsumenta;</w:t>
      </w:r>
    </w:p>
    <w:p w:rsidR="00181EE0" w:rsidRPr="008D21F1" w:rsidRDefault="00181EE0" w:rsidP="00181EE0">
      <w:pPr>
        <w:pStyle w:val="Akapitzlist"/>
        <w:keepNext/>
        <w:numPr>
          <w:ilvl w:val="0"/>
          <w:numId w:val="13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koszt ubezpieczenia na życie Kredytobiorcy  spoza oferty Banku – koszt nieznany Banku</w:t>
      </w:r>
    </w:p>
    <w:p w:rsidR="00181EE0" w:rsidRPr="008D21F1" w:rsidRDefault="00181EE0" w:rsidP="00181EE0">
      <w:pPr>
        <w:pStyle w:val="Akapitzlist"/>
        <w:keepNext/>
        <w:numPr>
          <w:ilvl w:val="0"/>
          <w:numId w:val="13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koszt ubezpieczenia nieruchomości spoza oferty Banku – koszt nieznany Banku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 xml:space="preserve">Będą Państwo musieli ponieść koszty ustanowienia hipoteki. 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Proszę się upewnić, że mają Państwo świadomość wszystkich innych opłat i kosztów związanych z Państwa kredytem hipotecznym.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spacing w:before="0"/>
        <w:rPr>
          <w:rFonts w:ascii="Calibri" w:hAnsi="Calibri" w:cs="Calibri"/>
          <w:b/>
          <w:sz w:val="20"/>
          <w:szCs w:val="20"/>
          <w:lang w:val="pl-PL"/>
        </w:rPr>
      </w:pP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Poszczególne warianty spłaty kredytu hipotecznego oferowane przez Bank Spółdzielczy w Pieńsku., w tym liczbę, częstotliwość i wysokość regularnie spłacanych rat;</w:t>
      </w:r>
    </w:p>
    <w:p w:rsidR="00181EE0" w:rsidRPr="008D21F1" w:rsidRDefault="00181EE0" w:rsidP="00181EE0">
      <w:pPr>
        <w:pStyle w:val="Akapitzlist"/>
        <w:keepNext/>
        <w:spacing w:before="0"/>
        <w:ind w:left="786"/>
        <w:rPr>
          <w:rFonts w:ascii="Calibri" w:hAnsi="Calibri" w:cs="Calibri"/>
          <w:b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tabs>
          <w:tab w:val="left" w:pos="1830"/>
        </w:tabs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Bank umożliwia spłatę rat kredytów w:</w:t>
      </w:r>
    </w:p>
    <w:p w:rsidR="00181EE0" w:rsidRPr="008D21F1" w:rsidRDefault="00181EE0" w:rsidP="00181EE0">
      <w:pPr>
        <w:pStyle w:val="Akapitzlist"/>
        <w:keepNext/>
        <w:numPr>
          <w:ilvl w:val="0"/>
          <w:numId w:val="14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równych ratach kapitałowo-odsetkowych</w:t>
      </w:r>
    </w:p>
    <w:p w:rsidR="00181EE0" w:rsidRPr="00DC6028" w:rsidRDefault="00181EE0" w:rsidP="00181EE0">
      <w:pPr>
        <w:pStyle w:val="Akapitzlist"/>
        <w:keepNext/>
        <w:numPr>
          <w:ilvl w:val="0"/>
          <w:numId w:val="14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malejących ratach kapitałowo-odsetkowych</w:t>
      </w:r>
    </w:p>
    <w:p w:rsidR="00181EE0" w:rsidRPr="008D21F1" w:rsidRDefault="00181EE0" w:rsidP="00181EE0">
      <w:pPr>
        <w:pStyle w:val="Akapitzlist"/>
        <w:keepNext/>
        <w:tabs>
          <w:tab w:val="left" w:pos="1830"/>
        </w:tabs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Raty kredytu spłacane są w częstotliwości miesięcznej.</w:t>
      </w:r>
    </w:p>
    <w:p w:rsidR="00181EE0" w:rsidRPr="00DC4993" w:rsidRDefault="00181EE0" w:rsidP="00181EE0">
      <w:pPr>
        <w:keepNext/>
        <w:tabs>
          <w:tab w:val="left" w:pos="1830"/>
        </w:tabs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</w:p>
    <w:p w:rsidR="00181EE0" w:rsidRDefault="00181EE0" w:rsidP="00181EE0">
      <w:pPr>
        <w:pStyle w:val="Akapitzlist"/>
        <w:keepNext/>
        <w:tabs>
          <w:tab w:val="left" w:pos="1830"/>
        </w:tabs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>
        <w:rPr>
          <w:rFonts w:ascii="Calibri" w:hAnsi="Calibri" w:cs="Calibri"/>
          <w:i/>
          <w:sz w:val="20"/>
          <w:szCs w:val="20"/>
          <w:lang w:val="pl-PL"/>
        </w:rPr>
        <w:t>Malejąca</w:t>
      </w:r>
      <w:r w:rsidRPr="005248ED">
        <w:rPr>
          <w:rFonts w:ascii="Calibri" w:hAnsi="Calibri" w:cs="Calibri"/>
          <w:i/>
          <w:sz w:val="20"/>
          <w:szCs w:val="20"/>
          <w:lang w:val="pl-PL"/>
        </w:rPr>
        <w:t xml:space="preserve"> rata miesięczna:</w:t>
      </w:r>
      <w:r>
        <w:rPr>
          <w:rFonts w:ascii="Calibri" w:hAnsi="Calibri" w:cs="Calibri"/>
          <w:i/>
          <w:sz w:val="20"/>
          <w:szCs w:val="20"/>
          <w:lang w:val="pl-PL"/>
        </w:rPr>
        <w:t xml:space="preserve"> 894</w:t>
      </w:r>
      <w:r w:rsidRPr="005248ED">
        <w:rPr>
          <w:rFonts w:ascii="Calibri" w:hAnsi="Calibri" w:cs="Calibri"/>
          <w:i/>
          <w:sz w:val="20"/>
          <w:szCs w:val="20"/>
          <w:lang w:val="pl-PL"/>
        </w:rPr>
        <w:t xml:space="preserve"> </w:t>
      </w:r>
      <w:r>
        <w:rPr>
          <w:rFonts w:ascii="Calibri" w:hAnsi="Calibri" w:cs="Calibri"/>
          <w:i/>
          <w:sz w:val="20"/>
          <w:szCs w:val="20"/>
          <w:lang w:val="pl-PL" w:bidi="pl-PL"/>
        </w:rPr>
        <w:t>,38</w:t>
      </w:r>
      <w:r w:rsidRPr="005248ED">
        <w:rPr>
          <w:rFonts w:ascii="Calibri" w:hAnsi="Calibri" w:cs="Calibri"/>
          <w:i/>
          <w:sz w:val="20"/>
          <w:szCs w:val="20"/>
          <w:lang w:val="pl-PL" w:bidi="pl-PL"/>
        </w:rPr>
        <w:t xml:space="preserve"> PLN.</w:t>
      </w:r>
    </w:p>
    <w:p w:rsidR="00181EE0" w:rsidRPr="005248ED" w:rsidRDefault="00181EE0" w:rsidP="00181EE0">
      <w:pPr>
        <w:keepNext/>
        <w:tabs>
          <w:tab w:val="left" w:pos="1830"/>
        </w:tabs>
        <w:spacing w:before="0"/>
        <w:rPr>
          <w:rFonts w:ascii="Calibri" w:hAnsi="Calibri" w:cs="Calibri"/>
          <w:i/>
          <w:sz w:val="20"/>
          <w:szCs w:val="20"/>
          <w:lang w:val="pl-PL"/>
        </w:rPr>
      </w:pPr>
    </w:p>
    <w:p w:rsidR="00181EE0" w:rsidRPr="005248ED" w:rsidRDefault="00181EE0" w:rsidP="00181EE0">
      <w:pPr>
        <w:pStyle w:val="Akapitzlist"/>
        <w:keepNext/>
        <w:tabs>
          <w:tab w:val="left" w:pos="1830"/>
        </w:tabs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5248ED">
        <w:rPr>
          <w:rFonts w:ascii="Calibri" w:hAnsi="Calibri" w:cs="Calibri"/>
          <w:i/>
          <w:sz w:val="20"/>
          <w:szCs w:val="20"/>
          <w:lang w:val="pl-PL"/>
        </w:rPr>
        <w:t xml:space="preserve">Przy założeniu z przykładu reprezentatywnego, że: </w:t>
      </w:r>
    </w:p>
    <w:p w:rsidR="00181EE0" w:rsidRPr="005248ED" w:rsidRDefault="00181EE0" w:rsidP="00181EE0">
      <w:pPr>
        <w:pStyle w:val="Akapitzlist"/>
        <w:keepNext/>
        <w:tabs>
          <w:tab w:val="left" w:pos="1830"/>
        </w:tabs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5248ED">
        <w:rPr>
          <w:rFonts w:ascii="Calibri" w:hAnsi="Calibri" w:cs="Calibri"/>
          <w:i/>
          <w:sz w:val="20"/>
          <w:szCs w:val="20"/>
          <w:lang w:val="pl-PL"/>
        </w:rPr>
        <w:t xml:space="preserve">całkowita kwota kredytu: 40 000 PLN (bez kredytowanych kosztów); </w:t>
      </w:r>
    </w:p>
    <w:p w:rsidR="00181EE0" w:rsidRPr="005248ED" w:rsidRDefault="00181EE0" w:rsidP="00181EE0">
      <w:pPr>
        <w:pStyle w:val="Akapitzlist"/>
        <w:keepNext/>
        <w:tabs>
          <w:tab w:val="left" w:pos="1830"/>
        </w:tabs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5248ED">
        <w:rPr>
          <w:rFonts w:ascii="Calibri" w:hAnsi="Calibri" w:cs="Calibri"/>
          <w:i/>
          <w:sz w:val="20"/>
          <w:szCs w:val="20"/>
          <w:lang w:val="pl-PL"/>
        </w:rPr>
        <w:t xml:space="preserve">okres kredytowania: 60 miesięcy; </w:t>
      </w:r>
    </w:p>
    <w:p w:rsidR="00181EE0" w:rsidRPr="005248ED" w:rsidRDefault="00181EE0" w:rsidP="00181EE0">
      <w:pPr>
        <w:pStyle w:val="Akapitzlist"/>
        <w:keepNext/>
        <w:tabs>
          <w:tab w:val="left" w:pos="1830"/>
        </w:tabs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5248ED">
        <w:rPr>
          <w:rFonts w:ascii="Calibri" w:hAnsi="Calibri" w:cs="Calibri"/>
          <w:i/>
          <w:sz w:val="20"/>
          <w:szCs w:val="20"/>
          <w:lang w:val="pl-PL"/>
        </w:rPr>
        <w:t xml:space="preserve">wkład własny: 0% wartości nieruchomości;  </w:t>
      </w:r>
    </w:p>
    <w:p w:rsidR="00181EE0" w:rsidRPr="005248ED" w:rsidRDefault="00181EE0" w:rsidP="00181EE0">
      <w:pPr>
        <w:pStyle w:val="Akapitzlist"/>
        <w:keepNext/>
        <w:tabs>
          <w:tab w:val="left" w:pos="1830"/>
        </w:tabs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5248ED">
        <w:rPr>
          <w:rFonts w:ascii="Calibri" w:hAnsi="Calibri" w:cs="Calibri"/>
          <w:i/>
          <w:sz w:val="20"/>
          <w:szCs w:val="20"/>
          <w:lang w:val="pl-PL"/>
        </w:rPr>
        <w:t xml:space="preserve">oprocentowanie kredytu: </w:t>
      </w:r>
      <w:r w:rsidRPr="005248ED">
        <w:rPr>
          <w:rFonts w:ascii="Calibri" w:hAnsi="Calibri" w:cs="Calibri"/>
          <w:i/>
          <w:sz w:val="20"/>
          <w:szCs w:val="20"/>
          <w:lang w:val="pl-PL" w:bidi="pl-PL"/>
        </w:rPr>
        <w:t xml:space="preserve">5,73 </w:t>
      </w:r>
      <w:r w:rsidRPr="005248ED">
        <w:rPr>
          <w:rFonts w:ascii="Calibri" w:hAnsi="Calibri" w:cs="Calibri"/>
          <w:i/>
          <w:sz w:val="20"/>
          <w:szCs w:val="20"/>
          <w:lang w:val="pl-PL"/>
        </w:rPr>
        <w:t>% w skali roku – wyliczone jako suma aktualnej stopy bazowej kredytu (stopa zmienna WIBOR 3M: 1.73 %) i marży Banku w wysokości 4%.</w:t>
      </w:r>
    </w:p>
    <w:p w:rsidR="00181EE0" w:rsidRPr="008D21F1" w:rsidRDefault="00181EE0" w:rsidP="00181EE0">
      <w:pPr>
        <w:keepNext/>
        <w:tabs>
          <w:tab w:val="left" w:pos="1830"/>
        </w:tabs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5248ED">
        <w:rPr>
          <w:rFonts w:ascii="Calibri" w:hAnsi="Calibri" w:cs="Calibri"/>
          <w:i/>
          <w:sz w:val="20"/>
          <w:szCs w:val="20"/>
          <w:lang w:val="pl-PL"/>
        </w:rPr>
        <w:t xml:space="preserve">              Wyliczenia na dzień 09.08.2017 r.</w:t>
      </w:r>
      <w:r w:rsidRPr="008D21F1">
        <w:rPr>
          <w:rFonts w:ascii="Calibri" w:hAnsi="Calibri" w:cs="Calibri"/>
          <w:i/>
          <w:sz w:val="20"/>
          <w:szCs w:val="20"/>
          <w:lang w:val="pl-PL"/>
        </w:rPr>
        <w:t xml:space="preserve"> </w:t>
      </w:r>
    </w:p>
    <w:p w:rsidR="00181EE0" w:rsidRPr="008D21F1" w:rsidRDefault="00181EE0" w:rsidP="00181EE0">
      <w:pPr>
        <w:keepNext/>
        <w:tabs>
          <w:tab w:val="left" w:pos="1830"/>
        </w:tabs>
        <w:spacing w:before="0"/>
        <w:rPr>
          <w:rFonts w:ascii="Calibri" w:hAnsi="Calibri" w:cs="Calibri"/>
          <w:i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tabs>
          <w:tab w:val="left" w:pos="1830"/>
        </w:tabs>
        <w:spacing w:before="0"/>
        <w:rPr>
          <w:rFonts w:ascii="Calibri" w:hAnsi="Calibri" w:cs="Calibri"/>
          <w:b/>
          <w:sz w:val="20"/>
          <w:szCs w:val="20"/>
          <w:lang w:val="pl-PL"/>
        </w:rPr>
      </w:pP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Opis warunków bezpośrednio związanych z przedterminową spłatą kredytu hipotecznego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sz w:val="20"/>
          <w:szCs w:val="20"/>
          <w:lang w:val="pl-PL" w:bidi="pl-PL"/>
        </w:rPr>
      </w:pP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Mają Państwo możliwość przedterminowej spłaty tego kredytu hipotecznego w całości 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br/>
        <w:t>lub w części.</w:t>
      </w:r>
    </w:p>
    <w:p w:rsidR="00181EE0" w:rsidRPr="008D21F1" w:rsidRDefault="00181EE0" w:rsidP="00181EE0">
      <w:pPr>
        <w:keepNext/>
        <w:spacing w:before="0"/>
        <w:ind w:left="708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W przypadku, wcześniejszej spłaty części kredytu Kredytobiorca może wystąpić do Banku 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br/>
        <w:t>z wnioskiem o przekazanie informacji o kosztach spłaty całości lub części kredytu hipotecznego przed terminem określonym w Umowie o kredyt.</w:t>
      </w:r>
    </w:p>
    <w:p w:rsidR="00181EE0" w:rsidRPr="008D21F1" w:rsidRDefault="00181EE0" w:rsidP="00181EE0">
      <w:pPr>
        <w:keepNext/>
        <w:spacing w:before="0"/>
        <w:ind w:left="708" w:firstLine="12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Bank przekazuje Kredytobiorcy, na trwałym nośniku, informację, o której mowa w ust. 2, wraz z założeniami przyjętymi do jej ustalenia, w terminie 7 dni roboczych od dnia otrzymania wniosku Kredytobiorcy o przekazanie powyższych informacji.</w:t>
      </w:r>
    </w:p>
    <w:p w:rsidR="00181EE0" w:rsidRPr="008D21F1" w:rsidRDefault="00181EE0" w:rsidP="00181EE0">
      <w:pPr>
        <w:keepNext/>
        <w:spacing w:before="0"/>
        <w:ind w:left="708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W przypadku wcześniejszej spłaty części kredytu Kredytobiorca powinien składając do Banku dyspozycję wcześniejszej spłaty kredytu hipotecznego, wskazać, czy wcześniejsza spłata skróci okres spłaty kredytu z zachowaniem miesięcznych rat kapitałowo-odsetkowych czy też zmniejszy wysokość miesięcznych rat kapitałowo-odsetkowych z zachowaniem okresu spłaty kredytu. Brak takiego wskazania spowoduje odpowiednie zmniejszenie rat kapitałowo-odsetkowych z zachowaniem okresu spłaty kredytu.  </w:t>
      </w:r>
    </w:p>
    <w:p w:rsidR="00181EE0" w:rsidRPr="008D21F1" w:rsidRDefault="00181EE0" w:rsidP="00181EE0">
      <w:pPr>
        <w:keepNext/>
        <w:spacing w:before="0"/>
        <w:ind w:firstLine="708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Zmiana warunków Umowy kredytu, o której mowa powyżej nie wymaga podpisania aneksu. </w:t>
      </w:r>
    </w:p>
    <w:p w:rsidR="00181EE0" w:rsidRPr="008D21F1" w:rsidRDefault="00181EE0" w:rsidP="00181EE0">
      <w:pPr>
        <w:keepNext/>
        <w:spacing w:before="0"/>
        <w:ind w:left="708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Nowy harmonogram spłat wynikający z tej zmiany jest przesyłany na trwałym nośniku 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br/>
        <w:t>do Kredytobiorcy oraz innych osób będących dłużnikami Banku z tytułu zabezpieczenia kredytu.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Opłata za wcześniejsze rozwiązanie umowy o kredyt hipoteczny: 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W przypadku wcześniejszej spłaty kredytu Bank nie  pobiera prowizji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Do wyliczenia wysokości odsetek Bank przyjmuje oprocentowanie  z dnia faktycznej spłaty kredytu hipotecznego. Bank nie pobiera prowizji za wcześniejszą spłatę kredytu. 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sz w:val="20"/>
          <w:szCs w:val="20"/>
          <w:lang w:val="pl-PL" w:bidi="pl-PL"/>
        </w:rPr>
      </w:pP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spacing w:before="0"/>
        <w:rPr>
          <w:rFonts w:ascii="Calibri" w:hAnsi="Calibri" w:cs="Calibri"/>
          <w:sz w:val="20"/>
          <w:szCs w:val="20"/>
          <w:lang w:val="pl-PL" w:bidi="pl-PL"/>
        </w:rPr>
      </w:pPr>
      <w:r w:rsidRPr="008D21F1">
        <w:rPr>
          <w:rFonts w:ascii="Calibri" w:hAnsi="Calibri" w:cs="Calibri"/>
          <w:sz w:val="20"/>
          <w:szCs w:val="20"/>
          <w:lang w:val="pl-PL" w:bidi="pl-PL"/>
        </w:rPr>
        <w:lastRenderedPageBreak/>
        <w:t xml:space="preserve">Wskazanie, czy jest konieczna </w:t>
      </w: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wycena nieruchomości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 i czy wiąże się to z kosztami </w:t>
      </w:r>
      <w:r w:rsidRPr="008D21F1">
        <w:rPr>
          <w:rFonts w:ascii="Calibri" w:hAnsi="Calibri" w:cs="Calibri"/>
          <w:sz w:val="20"/>
          <w:szCs w:val="20"/>
          <w:lang w:val="pl-PL" w:bidi="pl-PL"/>
        </w:rPr>
        <w:br/>
        <w:t>dla konsumenta, a jeżeli tak, to w jakiej wysokości,</w:t>
      </w:r>
      <w:r>
        <w:rPr>
          <w:rFonts w:ascii="Calibri" w:hAnsi="Calibri" w:cs="Calibri"/>
          <w:sz w:val="20"/>
          <w:szCs w:val="20"/>
          <w:lang w:val="pl-PL" w:bidi="pl-PL"/>
        </w:rPr>
        <w:t xml:space="preserve"> oraz wskazanie, kto odpowiada 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>za zapewnienie dokonania wyceny nieruchomości;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sz w:val="20"/>
          <w:szCs w:val="20"/>
          <w:lang w:val="pl-PL" w:bidi="pl-PL"/>
        </w:rPr>
      </w:pP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Bank wymaga wyceny od osoby ubiegającej się o kredyt zabezpieczony hipotecznie zgodnie 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br/>
        <w:t>z poniższymi założeniami:</w:t>
      </w:r>
    </w:p>
    <w:p w:rsidR="00181EE0" w:rsidRPr="008D21F1" w:rsidRDefault="00181EE0" w:rsidP="00181EE0">
      <w:pPr>
        <w:pStyle w:val="Akapitzlist"/>
        <w:keepNext/>
        <w:numPr>
          <w:ilvl w:val="0"/>
          <w:numId w:val="16"/>
        </w:numPr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wycena musi być aktualna tj. nie starsza niż 6 miesięcy. Wycena wartości nieruchomości wykonana przez rzeczoznawcę  wpisanego w dniu wyceny na listę Centralnego Rejestru Rzeczoznawców Majątkowych prowadzoną przez Ministra Infrastruktury i Rozwoju lub wycena nie starsza niż 12 miesięcy, gdy załączono aktualizację wyceny dokonaną przez rzeczoznawcę majątkowego wykonującego wycenę (aktualizacja ważna jest 90 dni od daty jej wystawienia). 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W uzasadnionych przypadkach Bank może wymagać od Wnioskodawcy aktualizacji lub nowej wyceny nieruchomości. 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sz w:val="20"/>
          <w:szCs w:val="20"/>
          <w:lang w:val="pl-PL" w:bidi="pl-PL"/>
        </w:rPr>
      </w:pPr>
    </w:p>
    <w:p w:rsidR="00181EE0" w:rsidRPr="008D21F1" w:rsidRDefault="00181EE0" w:rsidP="00181EE0">
      <w:pPr>
        <w:pStyle w:val="Akapitzlist"/>
        <w:keepNext/>
        <w:numPr>
          <w:ilvl w:val="0"/>
          <w:numId w:val="16"/>
        </w:numPr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Wycena nie jest konieczna w przypadku:</w:t>
      </w:r>
    </w:p>
    <w:p w:rsidR="00181EE0" w:rsidRPr="008D21F1" w:rsidRDefault="00181EE0" w:rsidP="00181EE0">
      <w:pPr>
        <w:pStyle w:val="Akapitzlist"/>
        <w:keepNext/>
        <w:numPr>
          <w:ilvl w:val="0"/>
          <w:numId w:val="4"/>
        </w:numPr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nabywania nieruchomości budowanej przez inwestora zastępczego (rynek pierwotny) – pod warunkiem zawarcia </w:t>
      </w:r>
      <w:r>
        <w:rPr>
          <w:rFonts w:ascii="Calibri" w:hAnsi="Calibri" w:cs="Calibri"/>
          <w:i/>
          <w:sz w:val="20"/>
          <w:szCs w:val="20"/>
          <w:lang w:val="pl-PL" w:bidi="pl-PL"/>
        </w:rPr>
        <w:t xml:space="preserve">w umowie pomiędzy Wnioskodawcą 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a tymże inwestorem dokładnego opisu kredytowanej nieruchomości oraz dołączenia harmonogramu wpłat z tytułu tej umowy; (dotyczy również celu dodatkowego na wykończenie lokalu mieszkalnego/domu jednorodzinnego na rynku pierwotnym); </w:t>
      </w:r>
    </w:p>
    <w:p w:rsidR="00181EE0" w:rsidRPr="008D21F1" w:rsidRDefault="00181EE0" w:rsidP="00181EE0">
      <w:pPr>
        <w:pStyle w:val="Akapitzlist"/>
        <w:keepNext/>
        <w:numPr>
          <w:ilvl w:val="0"/>
          <w:numId w:val="4"/>
        </w:numPr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nabywania lokalu mieszkalnego od gminy, gdzie wszelkie informacje zawarte 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br/>
        <w:t>są w dokumencie potwierdzającym prawo do nabycia lokalu przez Wnioskodawcę.</w:t>
      </w:r>
    </w:p>
    <w:p w:rsidR="00181EE0" w:rsidRPr="005248ED" w:rsidRDefault="00181EE0" w:rsidP="00181EE0">
      <w:pPr>
        <w:pStyle w:val="Akapitzlist"/>
        <w:keepNext/>
        <w:numPr>
          <w:ilvl w:val="0"/>
          <w:numId w:val="4"/>
        </w:numPr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kredytu przeznaczonego na remont w wysokości do 100 000 PLN, kiedy zakres prac nie </w:t>
      </w:r>
      <w:r w:rsidRPr="005248ED">
        <w:rPr>
          <w:rFonts w:ascii="Calibri" w:hAnsi="Calibri" w:cs="Calibri"/>
          <w:i/>
          <w:sz w:val="20"/>
          <w:szCs w:val="20"/>
          <w:lang w:val="pl-PL" w:bidi="pl-PL"/>
        </w:rPr>
        <w:t>wymaga zezwoleń organów administracyjnych i zmiany projektu.</w:t>
      </w:r>
    </w:p>
    <w:p w:rsidR="00181EE0" w:rsidRPr="005248ED" w:rsidRDefault="00181EE0" w:rsidP="00181EE0">
      <w:pPr>
        <w:pStyle w:val="Akapitzlist"/>
        <w:keepNext/>
        <w:numPr>
          <w:ilvl w:val="0"/>
          <w:numId w:val="4"/>
        </w:numPr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5248ED">
        <w:rPr>
          <w:rFonts w:ascii="Calibri" w:hAnsi="Calibri" w:cs="Calibri"/>
          <w:i/>
          <w:sz w:val="20"/>
          <w:szCs w:val="20"/>
          <w:lang w:val="pl-PL" w:bidi="pl-PL"/>
        </w:rPr>
        <w:t>kredytu  w wysokości do 100 000 PLN;</w:t>
      </w:r>
    </w:p>
    <w:p w:rsidR="00181EE0" w:rsidRPr="008D21F1" w:rsidRDefault="00181EE0" w:rsidP="00181EE0">
      <w:pPr>
        <w:pStyle w:val="Akapitzlist"/>
        <w:keepNext/>
        <w:spacing w:before="0"/>
        <w:ind w:left="1080"/>
        <w:rPr>
          <w:rFonts w:ascii="Calibri" w:hAnsi="Calibri" w:cs="Calibri"/>
          <w:sz w:val="20"/>
          <w:szCs w:val="20"/>
          <w:lang w:val="pl-PL" w:bidi="pl-PL"/>
        </w:rPr>
      </w:pPr>
    </w:p>
    <w:p w:rsidR="00181EE0" w:rsidRPr="008D21F1" w:rsidRDefault="00181EE0" w:rsidP="00181EE0">
      <w:pPr>
        <w:pStyle w:val="Akapitzlist"/>
        <w:keepNext/>
        <w:spacing w:before="0"/>
        <w:ind w:left="108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Koszt wyceny nie jest znany bankowi i zależy od wybranego indywidualnie przez Klienta Rzeczoznawcy Majątkowego.</w:t>
      </w:r>
    </w:p>
    <w:p w:rsidR="00181EE0" w:rsidRPr="008D21F1" w:rsidRDefault="00181EE0" w:rsidP="00181EE0">
      <w:pPr>
        <w:pStyle w:val="Akapitzlist"/>
        <w:keepNext/>
        <w:spacing w:before="0"/>
        <w:ind w:left="1080"/>
        <w:rPr>
          <w:rFonts w:ascii="Calibri" w:hAnsi="Calibri" w:cs="Calibri"/>
          <w:sz w:val="20"/>
          <w:szCs w:val="20"/>
          <w:lang w:val="pl-PL" w:bidi="pl-PL"/>
        </w:rPr>
      </w:pP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spacing w:before="0"/>
        <w:rPr>
          <w:rFonts w:ascii="Calibri" w:hAnsi="Calibri" w:cs="Calibri"/>
          <w:sz w:val="20"/>
          <w:szCs w:val="20"/>
          <w:lang w:val="pl-PL"/>
        </w:rPr>
      </w:pP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Wskazanie usług dodatkowych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, które konsument jest zobowiązany nabyć, aby uzyskać kredyt hipoteczny lub uzyskać go na reklamowanych warunkach, oraz, w stosownych przypadkach, wyjaśnienie, że usługi dodatkowe mogą być nabywane u usługodawcy innego niż kredytodawca: 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Kredyt UKH  jest oferowany w Banku Spółdzielczym w Pieńsku  bez usług dodatkowych.</w:t>
      </w:r>
    </w:p>
    <w:p w:rsidR="00181EE0" w:rsidRPr="008D21F1" w:rsidRDefault="00181EE0" w:rsidP="00181EE0">
      <w:pPr>
        <w:keepNext/>
        <w:spacing w:before="0"/>
        <w:rPr>
          <w:rFonts w:ascii="Calibri" w:hAnsi="Calibri" w:cs="Calibri"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spacing w:before="0"/>
        <w:rPr>
          <w:rFonts w:ascii="Calibri" w:hAnsi="Calibri" w:cs="Calibri"/>
          <w:sz w:val="20"/>
          <w:szCs w:val="20"/>
          <w:lang w:val="pl-PL"/>
        </w:rPr>
      </w:pP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Ostrzeżenie dotyczące możliwych konsekwencji </w:t>
      </w: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niewykonania lub nienależytego wykonania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 zobowiązań związanych z umową o kredyt hipoteczny:</w:t>
      </w:r>
    </w:p>
    <w:p w:rsidR="00181EE0" w:rsidRPr="008D21F1" w:rsidRDefault="00181EE0" w:rsidP="00181EE0">
      <w:pPr>
        <w:pStyle w:val="Akapitzlist"/>
        <w:keepNext/>
        <w:spacing w:before="0"/>
        <w:ind w:left="786"/>
        <w:rPr>
          <w:rFonts w:ascii="Calibri" w:hAnsi="Calibri" w:cs="Calibri"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W przypadku:</w:t>
      </w:r>
    </w:p>
    <w:p w:rsidR="00181EE0" w:rsidRPr="008D21F1" w:rsidRDefault="00181EE0" w:rsidP="00181EE0">
      <w:pPr>
        <w:pStyle w:val="Akapitzlist"/>
        <w:keepNext/>
        <w:numPr>
          <w:ilvl w:val="1"/>
          <w:numId w:val="1"/>
        </w:numPr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nieprzedstawienia dokumentów (faktur lub rachunków) uzasadniających prawidłowość wykorzystania dotychczas uruchomionych środków kredytu lub wykorzystania kredytu niezgodnie z przeznaczeniem;</w:t>
      </w:r>
    </w:p>
    <w:p w:rsidR="00181EE0" w:rsidRPr="008D21F1" w:rsidRDefault="00181EE0" w:rsidP="00181EE0">
      <w:pPr>
        <w:pStyle w:val="Akapitzlist"/>
        <w:keepNext/>
        <w:numPr>
          <w:ilvl w:val="1"/>
          <w:numId w:val="1"/>
        </w:numPr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niespłacenia w terminie określonym w Umowie kredytu bieżącej pełnej raty odsetkowej;</w:t>
      </w:r>
    </w:p>
    <w:p w:rsidR="00181EE0" w:rsidRPr="008D21F1" w:rsidRDefault="00181EE0" w:rsidP="00181EE0">
      <w:pPr>
        <w:pStyle w:val="Akapitzlist"/>
        <w:keepNext/>
        <w:numPr>
          <w:ilvl w:val="1"/>
          <w:numId w:val="1"/>
        </w:numPr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 xml:space="preserve">niedopełnienia przez Kredytobiorcę zobowiązań określonych w Umowie kredytu dotyczących ustanowienia prawnych form spłaty kredytu hipotecznego </w:t>
      </w:r>
    </w:p>
    <w:p w:rsidR="00181EE0" w:rsidRPr="008D21F1" w:rsidRDefault="00181EE0" w:rsidP="00181EE0">
      <w:pPr>
        <w:pStyle w:val="Akapitzlist"/>
        <w:keepNext/>
        <w:numPr>
          <w:ilvl w:val="1"/>
          <w:numId w:val="1"/>
        </w:numPr>
        <w:spacing w:before="0"/>
        <w:rPr>
          <w:rFonts w:ascii="Calibri" w:hAnsi="Calibri" w:cs="Calibri"/>
          <w:i/>
          <w:sz w:val="20"/>
          <w:szCs w:val="20"/>
          <w:lang w:val="pl-PL" w:bidi="pl-PL"/>
        </w:rPr>
      </w:pP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niedopełniania przez Kredytobiorcę zobowiązań do terminowego realizowania postanowień Umowy kredytu oraz posiadania ważnych polis z tytułu ubezpieczenia nieruchomości lub ubezpieczenia na życie Kredytobiorcy, stanowiących zabezpieczenie kredytu;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Bank może wstrzymać wypłaty kolejnych transz kredytu do czasu wykonania tych obowiązków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Bank może wstrzymać wypłaty kolejnych transz kredytu do czasu złożenia przez Kredytobiorcę wyjaśnień dotyczących zaistniałej sytuacji i zaakceptowania ich przez Bank i/lub wypowiedzieć Umowę kredytu  w przypadku, gdy Kredytobiorca:</w:t>
      </w:r>
    </w:p>
    <w:p w:rsidR="00181EE0" w:rsidRPr="008D21F1" w:rsidRDefault="00181EE0" w:rsidP="00181EE0">
      <w:pPr>
        <w:pStyle w:val="Akapitzlist"/>
        <w:keepNext/>
        <w:numPr>
          <w:ilvl w:val="0"/>
          <w:numId w:val="18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lastRenderedPageBreak/>
        <w:t>złożył fałszywe dokumenty lub podał nieprawdziwe dane stanowiące podstawę udzielenia kredytu;</w:t>
      </w:r>
    </w:p>
    <w:p w:rsidR="00181EE0" w:rsidRPr="008D21F1" w:rsidRDefault="00181EE0" w:rsidP="00181EE0">
      <w:pPr>
        <w:pStyle w:val="Akapitzlist"/>
        <w:keepNext/>
        <w:numPr>
          <w:ilvl w:val="0"/>
          <w:numId w:val="18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 xml:space="preserve"> złożył niezgodne z prawdą oświadczenia, w tym dotyczące prawnego zabezpieczenia i bycia stroną umowy innego kredytu; lub </w:t>
      </w:r>
    </w:p>
    <w:p w:rsidR="00181EE0" w:rsidRPr="008D21F1" w:rsidRDefault="00181EE0" w:rsidP="00181EE0">
      <w:pPr>
        <w:pStyle w:val="Akapitzlist"/>
        <w:keepNext/>
        <w:numPr>
          <w:ilvl w:val="0"/>
          <w:numId w:val="18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kredyt został udzielony wskutek innych działań sprzecznych z prawem dokonanych przez Kredytobiorcę oraz inne osoby będące dłużnikami Banku z tytułu zabezpieczenia wierzytelności Banku wynikającej z udzielonego kredytu.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W przypadku:</w:t>
      </w:r>
    </w:p>
    <w:p w:rsidR="00181EE0" w:rsidRPr="008D21F1" w:rsidRDefault="00181EE0" w:rsidP="00181EE0">
      <w:pPr>
        <w:pStyle w:val="Akapitzlist"/>
        <w:keepNext/>
        <w:numPr>
          <w:ilvl w:val="0"/>
          <w:numId w:val="19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 xml:space="preserve">przekroczenia poziomu LTV 80% </w:t>
      </w:r>
    </w:p>
    <w:p w:rsidR="00181EE0" w:rsidRPr="008D21F1" w:rsidRDefault="00181EE0" w:rsidP="00181EE0">
      <w:pPr>
        <w:pStyle w:val="Akapitzlist"/>
        <w:keepNext/>
        <w:numPr>
          <w:ilvl w:val="0"/>
          <w:numId w:val="19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zwiększenia, o co najmniej 10% w porównaniu do relacji ustalonej na dzień zawarcia Umowy kredytu, stosunku salda zadłużenia kredytu do wartości ustanowionych prawnie zabezpieczeń, w szczególności wartości nieruchomości stanowiącej przedmiot zabezpieczenia hipotecznego kredytu lub;</w:t>
      </w:r>
    </w:p>
    <w:p w:rsidR="00181EE0" w:rsidRPr="008D21F1" w:rsidRDefault="00181EE0" w:rsidP="00181EE0">
      <w:pPr>
        <w:pStyle w:val="Akapitzlist"/>
        <w:keepNext/>
        <w:numPr>
          <w:ilvl w:val="0"/>
          <w:numId w:val="19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obniżenia, o co najmniej 20% wartości nieruchomości stanowiącej przedmiot zabezpieczenia kredytu w stosunku do jej wartości ustalonej na podstawie ostatniej posiadanej przez Bank wyceny lub;</w:t>
      </w:r>
    </w:p>
    <w:p w:rsidR="00181EE0" w:rsidRPr="008D21F1" w:rsidRDefault="00181EE0" w:rsidP="00181EE0">
      <w:pPr>
        <w:pStyle w:val="Akapitzlist"/>
        <w:keepNext/>
        <w:numPr>
          <w:ilvl w:val="0"/>
          <w:numId w:val="19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braku  zabezpieczenia spłaty kredytu określonego w Umowie kredytu;</w:t>
      </w:r>
    </w:p>
    <w:p w:rsidR="00181EE0" w:rsidRPr="008D21F1" w:rsidRDefault="00181EE0" w:rsidP="00181EE0">
      <w:pPr>
        <w:pStyle w:val="Akapitzlist"/>
        <w:keepNext/>
        <w:numPr>
          <w:ilvl w:val="0"/>
          <w:numId w:val="19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Kredytobiorca zobowiązany jest ustanowić dodatkowe zabezpieczenie o wartości adekwatnej do obniżonej wartości zabezpieczenia nie później niż 30 dni kalendarzowych od otrzymania odpowiedniego wezwania od Banku pod rygorem wypowiedzenia Umowy kredytu.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>W przypadku utraty zdolności kredytowej Kredytobiorcy Bank może zobowiązać Kredytobiorcę do ustanowienia zabezpieczenia w formie poręczenia spłaty kredytu w terminie 30 dni od otrzymania odpowiedniego wezwania od Banku pod rygorem wypowiedzenia Umowy kredytu.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 xml:space="preserve">Nieprzestrzeganie warunków umowy kredytu zabezpieczanego hipoteką i rezygnacja z usług dodatkowych w ramach sprzedaży łączonej w ramach promocji kredytów hipotecznych </w:t>
      </w:r>
      <w:r w:rsidRPr="008D21F1">
        <w:rPr>
          <w:rFonts w:ascii="Calibri" w:hAnsi="Calibri" w:cs="Calibri"/>
          <w:i/>
          <w:sz w:val="20"/>
          <w:szCs w:val="20"/>
          <w:lang w:val="pl-PL"/>
        </w:rPr>
        <w:br/>
        <w:t>w Banku Spółdzielczego w Pieńsku niesie dla Konsumenta konsekwencje finansowe.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i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spacing w:before="0"/>
        <w:rPr>
          <w:rFonts w:ascii="Calibri" w:hAnsi="Calibri" w:cs="Calibri"/>
          <w:sz w:val="20"/>
          <w:szCs w:val="20"/>
          <w:lang w:val="pl-PL"/>
        </w:rPr>
      </w:pPr>
      <w:r w:rsidRPr="008D21F1">
        <w:rPr>
          <w:rFonts w:ascii="Calibri" w:hAnsi="Calibri" w:cs="Calibri"/>
          <w:i/>
          <w:sz w:val="20"/>
          <w:szCs w:val="20"/>
          <w:lang w:val="pl-PL"/>
        </w:rPr>
        <w:t xml:space="preserve">Proszę zwrócić uwagę na ewentualne skutki rezygnacji w późniejszym terminie </w:t>
      </w:r>
      <w:r w:rsidRPr="008D21F1">
        <w:rPr>
          <w:rFonts w:ascii="Calibri" w:hAnsi="Calibri" w:cs="Calibri"/>
          <w:i/>
          <w:sz w:val="20"/>
          <w:szCs w:val="20"/>
          <w:lang w:val="pl-PL"/>
        </w:rPr>
        <w:br/>
        <w:t xml:space="preserve">z którejkolwiek z usług dodatkowych:  nie dotyczy, 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kredyt UKH</w:t>
      </w:r>
      <w:r>
        <w:rPr>
          <w:rFonts w:ascii="Calibri" w:hAnsi="Calibri" w:cs="Calibri"/>
          <w:i/>
          <w:sz w:val="20"/>
          <w:szCs w:val="20"/>
          <w:lang w:val="pl-PL" w:bidi="pl-PL"/>
        </w:rPr>
        <w:t xml:space="preserve"> jest oferowany </w:t>
      </w:r>
      <w:r w:rsidRPr="008D21F1">
        <w:rPr>
          <w:rFonts w:ascii="Calibri" w:hAnsi="Calibri" w:cs="Calibri"/>
          <w:i/>
          <w:sz w:val="20"/>
          <w:szCs w:val="20"/>
          <w:lang w:val="pl-PL" w:bidi="pl-PL"/>
        </w:rPr>
        <w:t>w Banku Spółdzielczym w Pieńsku bez usług dodatkowych.</w:t>
      </w:r>
    </w:p>
    <w:p w:rsidR="00181EE0" w:rsidRPr="008D21F1" w:rsidRDefault="00181EE0" w:rsidP="00181EE0">
      <w:pPr>
        <w:pStyle w:val="Akapitzlist"/>
        <w:keepNext/>
        <w:spacing w:before="0"/>
        <w:rPr>
          <w:rFonts w:ascii="Calibri" w:hAnsi="Calibri" w:cs="Calibri"/>
          <w:sz w:val="20"/>
          <w:szCs w:val="20"/>
          <w:lang w:val="pl-PL"/>
        </w:rPr>
      </w:pPr>
    </w:p>
    <w:p w:rsidR="00181EE0" w:rsidRPr="008D21F1" w:rsidRDefault="00181EE0" w:rsidP="00181EE0">
      <w:pPr>
        <w:pStyle w:val="Akapitzlist"/>
        <w:keepNext/>
        <w:numPr>
          <w:ilvl w:val="0"/>
          <w:numId w:val="1"/>
        </w:numPr>
        <w:spacing w:before="0"/>
        <w:rPr>
          <w:rFonts w:ascii="Calibri" w:hAnsi="Calibri" w:cs="Calibri"/>
          <w:i/>
          <w:sz w:val="20"/>
          <w:szCs w:val="20"/>
          <w:lang w:val="pl-PL"/>
        </w:rPr>
      </w:pPr>
      <w:r w:rsidRPr="008D21F1">
        <w:rPr>
          <w:rFonts w:ascii="Calibri" w:hAnsi="Calibri" w:cs="Calibri"/>
          <w:b/>
          <w:sz w:val="20"/>
          <w:szCs w:val="20"/>
          <w:lang w:val="pl-PL" w:bidi="pl-PL"/>
        </w:rPr>
        <w:t>W przypadku gdy umowa o kredyt hipoteczny dotyczy kredytu hipotecznego objętego wsparciem udzielanym ze środków publicznych</w:t>
      </w:r>
      <w:r w:rsidRPr="008D21F1">
        <w:rPr>
          <w:rFonts w:ascii="Calibri" w:hAnsi="Calibri" w:cs="Calibri"/>
          <w:sz w:val="20"/>
          <w:szCs w:val="20"/>
          <w:lang w:val="pl-PL" w:bidi="pl-PL"/>
        </w:rPr>
        <w:t xml:space="preserve"> - wskazanie warunków, kryteriów </w:t>
      </w:r>
      <w:r w:rsidRPr="008D21F1">
        <w:rPr>
          <w:rFonts w:ascii="Calibri" w:hAnsi="Calibri" w:cs="Calibri"/>
          <w:sz w:val="20"/>
          <w:szCs w:val="20"/>
          <w:lang w:val="pl-PL" w:bidi="pl-PL"/>
        </w:rPr>
        <w:br/>
        <w:t xml:space="preserve">i ograniczeń oraz wymaganych dokumentów związanych </w:t>
      </w:r>
      <w:r>
        <w:rPr>
          <w:rFonts w:ascii="Calibri" w:hAnsi="Calibri" w:cs="Calibri"/>
          <w:sz w:val="20"/>
          <w:szCs w:val="20"/>
          <w:lang w:val="pl-PL" w:bidi="pl-PL"/>
        </w:rPr>
        <w:t xml:space="preserve">z otrzymaniem takiego wsparcia: </w:t>
      </w:r>
      <w:r>
        <w:rPr>
          <w:rFonts w:ascii="Calibri" w:hAnsi="Calibri" w:cs="Calibri"/>
          <w:i/>
          <w:sz w:val="20"/>
          <w:szCs w:val="20"/>
          <w:lang w:val="pl-PL"/>
        </w:rPr>
        <w:t xml:space="preserve">nie </w:t>
      </w:r>
      <w:r w:rsidRPr="008D21F1">
        <w:rPr>
          <w:rFonts w:ascii="Calibri" w:hAnsi="Calibri" w:cs="Calibri"/>
          <w:i/>
          <w:sz w:val="20"/>
          <w:szCs w:val="20"/>
          <w:lang w:val="pl-PL"/>
        </w:rPr>
        <w:t>dotyczy.</w:t>
      </w:r>
    </w:p>
    <w:p w:rsidR="00181EE0" w:rsidRPr="008D21F1" w:rsidRDefault="00181EE0" w:rsidP="00181EE0">
      <w:pPr>
        <w:spacing w:before="0"/>
        <w:rPr>
          <w:rFonts w:ascii="Calibri" w:hAnsi="Calibri" w:cs="Calibri"/>
          <w:sz w:val="20"/>
          <w:szCs w:val="20"/>
          <w:lang w:val="pl-PL"/>
        </w:rPr>
      </w:pPr>
    </w:p>
    <w:p w:rsidR="00181EE0" w:rsidRPr="008D21F1" w:rsidRDefault="00181EE0" w:rsidP="00181EE0">
      <w:pPr>
        <w:spacing w:before="0"/>
        <w:rPr>
          <w:rFonts w:ascii="Calibri" w:hAnsi="Calibri" w:cs="Calibri"/>
          <w:sz w:val="20"/>
          <w:szCs w:val="20"/>
          <w:lang w:val="pl-PL"/>
        </w:rPr>
      </w:pPr>
    </w:p>
    <w:p w:rsidR="00181EE0" w:rsidRPr="008D21F1" w:rsidRDefault="00181EE0" w:rsidP="00181EE0">
      <w:pPr>
        <w:spacing w:before="0"/>
        <w:rPr>
          <w:rFonts w:ascii="Calibri" w:hAnsi="Calibri" w:cs="Calibri"/>
          <w:sz w:val="20"/>
          <w:szCs w:val="20"/>
          <w:lang w:val="pl-PL"/>
        </w:rPr>
      </w:pPr>
    </w:p>
    <w:p w:rsidR="00181EE0" w:rsidRPr="008D21F1" w:rsidRDefault="00181EE0" w:rsidP="00181EE0">
      <w:pPr>
        <w:spacing w:before="0"/>
        <w:rPr>
          <w:rFonts w:ascii="Calibri" w:hAnsi="Calibri" w:cs="Calibri"/>
          <w:sz w:val="20"/>
          <w:szCs w:val="20"/>
          <w:lang w:val="pl-PL"/>
        </w:rPr>
      </w:pPr>
    </w:p>
    <w:p w:rsidR="00181EE0" w:rsidRPr="008D21F1" w:rsidRDefault="00181EE0" w:rsidP="00181EE0">
      <w:pPr>
        <w:spacing w:before="0"/>
        <w:rPr>
          <w:rFonts w:ascii="Calibri" w:hAnsi="Calibri" w:cs="Calibri"/>
          <w:sz w:val="20"/>
          <w:szCs w:val="20"/>
          <w:lang w:val="pl-PL"/>
        </w:rPr>
      </w:pPr>
    </w:p>
    <w:p w:rsidR="00B749DC" w:rsidRPr="00585D92" w:rsidRDefault="00B749DC" w:rsidP="00B749DC">
      <w:pPr>
        <w:pStyle w:val="Akapitzlist"/>
        <w:keepNext/>
        <w:rPr>
          <w:b/>
          <w:lang w:val="pl-PL" w:bidi="pl-PL"/>
        </w:rPr>
      </w:pPr>
    </w:p>
    <w:sectPr w:rsidR="00B749DC" w:rsidRPr="00585D92" w:rsidSect="00BD0515">
      <w:headerReference w:type="default" r:id="rId9"/>
      <w:headerReference w:type="first" r:id="rId10"/>
      <w:pgSz w:w="11906" w:h="16838"/>
      <w:pgMar w:top="2091" w:right="1417" w:bottom="1417" w:left="1417" w:header="28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4C" w:rsidRDefault="005E4E4C" w:rsidP="00C93D77">
      <w:pPr>
        <w:spacing w:before="0"/>
      </w:pPr>
      <w:r>
        <w:separator/>
      </w:r>
    </w:p>
  </w:endnote>
  <w:endnote w:type="continuationSeparator" w:id="0">
    <w:p w:rsidR="005E4E4C" w:rsidRDefault="005E4E4C" w:rsidP="00C93D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4C" w:rsidRDefault="005E4E4C" w:rsidP="00C93D77">
      <w:pPr>
        <w:spacing w:before="0"/>
      </w:pPr>
      <w:r>
        <w:separator/>
      </w:r>
    </w:p>
  </w:footnote>
  <w:footnote w:type="continuationSeparator" w:id="0">
    <w:p w:rsidR="005E4E4C" w:rsidRDefault="005E4E4C" w:rsidP="00C93D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4D" w:rsidRPr="00BD0515" w:rsidRDefault="00510665" w:rsidP="00BD0515">
    <w:pPr>
      <w:rPr>
        <w:rFonts w:ascii="Calibri" w:hAnsi="Calibri" w:cs="Calibri"/>
        <w:i/>
        <w:color w:val="FF00FF"/>
        <w:sz w:val="16"/>
        <w:szCs w:val="16"/>
      </w:rPr>
    </w:pPr>
    <w:r>
      <w:rPr>
        <w:rFonts w:ascii="Calibri" w:hAnsi="Calibri" w:cs="Calibri"/>
        <w:i/>
        <w:noProof/>
        <w:color w:val="FF00FF"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43CD28" wp14:editId="482264B4">
              <wp:simplePos x="0" y="0"/>
              <wp:positionH relativeFrom="column">
                <wp:posOffset>733425</wp:posOffset>
              </wp:positionH>
              <wp:positionV relativeFrom="paragraph">
                <wp:posOffset>139700</wp:posOffset>
              </wp:positionV>
              <wp:extent cx="4255770" cy="433705"/>
              <wp:effectExtent l="0" t="0" r="0" b="444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55770" cy="433705"/>
                        <a:chOff x="1012" y="517"/>
                        <a:chExt cx="7127" cy="714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12" y="517"/>
                          <a:ext cx="817" cy="694"/>
                        </a:xfrm>
                        <a:custGeom>
                          <a:avLst/>
                          <a:gdLst>
                            <a:gd name="T0" fmla="*/ 772 w 878"/>
                            <a:gd name="T1" fmla="*/ 203 h 892"/>
                            <a:gd name="T2" fmla="*/ 717 w 878"/>
                            <a:gd name="T3" fmla="*/ 128 h 892"/>
                            <a:gd name="T4" fmla="*/ 617 w 878"/>
                            <a:gd name="T5" fmla="*/ 108 h 892"/>
                            <a:gd name="T6" fmla="*/ 539 w 878"/>
                            <a:gd name="T7" fmla="*/ 108 h 892"/>
                            <a:gd name="T8" fmla="*/ 489 w 878"/>
                            <a:gd name="T9" fmla="*/ 122 h 892"/>
                            <a:gd name="T10" fmla="*/ 439 w 878"/>
                            <a:gd name="T11" fmla="*/ 142 h 892"/>
                            <a:gd name="T12" fmla="*/ 461 w 878"/>
                            <a:gd name="T13" fmla="*/ 95 h 892"/>
                            <a:gd name="T14" fmla="*/ 528 w 878"/>
                            <a:gd name="T15" fmla="*/ 68 h 892"/>
                            <a:gd name="T16" fmla="*/ 567 w 878"/>
                            <a:gd name="T17" fmla="*/ 54 h 892"/>
                            <a:gd name="T18" fmla="*/ 706 w 878"/>
                            <a:gd name="T19" fmla="*/ 41 h 892"/>
                            <a:gd name="T20" fmla="*/ 822 w 878"/>
                            <a:gd name="T21" fmla="*/ 95 h 892"/>
                            <a:gd name="T22" fmla="*/ 856 w 878"/>
                            <a:gd name="T23" fmla="*/ 142 h 892"/>
                            <a:gd name="T24" fmla="*/ 872 w 878"/>
                            <a:gd name="T25" fmla="*/ 189 h 892"/>
                            <a:gd name="T26" fmla="*/ 872 w 878"/>
                            <a:gd name="T27" fmla="*/ 223 h 892"/>
                            <a:gd name="T28" fmla="*/ 878 w 878"/>
                            <a:gd name="T29" fmla="*/ 264 h 892"/>
                            <a:gd name="T30" fmla="*/ 867 w 878"/>
                            <a:gd name="T31" fmla="*/ 621 h 892"/>
                            <a:gd name="T32" fmla="*/ 828 w 878"/>
                            <a:gd name="T33" fmla="*/ 696 h 892"/>
                            <a:gd name="T34" fmla="*/ 772 w 878"/>
                            <a:gd name="T35" fmla="*/ 750 h 892"/>
                            <a:gd name="T36" fmla="*/ 672 w 878"/>
                            <a:gd name="T37" fmla="*/ 797 h 892"/>
                            <a:gd name="T38" fmla="*/ 589 w 878"/>
                            <a:gd name="T39" fmla="*/ 838 h 892"/>
                            <a:gd name="T40" fmla="*/ 522 w 878"/>
                            <a:gd name="T41" fmla="*/ 892 h 892"/>
                            <a:gd name="T42" fmla="*/ 456 w 878"/>
                            <a:gd name="T43" fmla="*/ 811 h 892"/>
                            <a:gd name="T44" fmla="*/ 383 w 878"/>
                            <a:gd name="T45" fmla="*/ 770 h 892"/>
                            <a:gd name="T46" fmla="*/ 294 w 878"/>
                            <a:gd name="T47" fmla="*/ 750 h 892"/>
                            <a:gd name="T48" fmla="*/ 139 w 878"/>
                            <a:gd name="T49" fmla="*/ 716 h 892"/>
                            <a:gd name="T50" fmla="*/ 28 w 878"/>
                            <a:gd name="T51" fmla="*/ 642 h 892"/>
                            <a:gd name="T52" fmla="*/ 0 w 878"/>
                            <a:gd name="T53" fmla="*/ 561 h 892"/>
                            <a:gd name="T54" fmla="*/ 5 w 878"/>
                            <a:gd name="T55" fmla="*/ 155 h 892"/>
                            <a:gd name="T56" fmla="*/ 28 w 878"/>
                            <a:gd name="T57" fmla="*/ 101 h 892"/>
                            <a:gd name="T58" fmla="*/ 89 w 878"/>
                            <a:gd name="T59" fmla="*/ 47 h 892"/>
                            <a:gd name="T60" fmla="*/ 172 w 878"/>
                            <a:gd name="T61" fmla="*/ 14 h 892"/>
                            <a:gd name="T62" fmla="*/ 261 w 878"/>
                            <a:gd name="T63" fmla="*/ 7 h 892"/>
                            <a:gd name="T64" fmla="*/ 344 w 878"/>
                            <a:gd name="T65" fmla="*/ 20 h 892"/>
                            <a:gd name="T66" fmla="*/ 422 w 878"/>
                            <a:gd name="T67" fmla="*/ 27 h 892"/>
                            <a:gd name="T68" fmla="*/ 494 w 878"/>
                            <a:gd name="T69" fmla="*/ 7 h 892"/>
                            <a:gd name="T70" fmla="*/ 517 w 878"/>
                            <a:gd name="T71" fmla="*/ 14 h 892"/>
                            <a:gd name="T72" fmla="*/ 472 w 878"/>
                            <a:gd name="T73" fmla="*/ 54 h 892"/>
                            <a:gd name="T74" fmla="*/ 400 w 878"/>
                            <a:gd name="T75" fmla="*/ 81 h 892"/>
                            <a:gd name="T76" fmla="*/ 317 w 878"/>
                            <a:gd name="T77" fmla="*/ 74 h 892"/>
                            <a:gd name="T78" fmla="*/ 233 w 878"/>
                            <a:gd name="T79" fmla="*/ 61 h 892"/>
                            <a:gd name="T80" fmla="*/ 161 w 878"/>
                            <a:gd name="T81" fmla="*/ 81 h 892"/>
                            <a:gd name="T82" fmla="*/ 122 w 878"/>
                            <a:gd name="T83" fmla="*/ 135 h 892"/>
                            <a:gd name="T84" fmla="*/ 111 w 878"/>
                            <a:gd name="T85" fmla="*/ 182 h 892"/>
                            <a:gd name="T86" fmla="*/ 106 w 878"/>
                            <a:gd name="T87" fmla="*/ 243 h 892"/>
                            <a:gd name="T88" fmla="*/ 111 w 878"/>
                            <a:gd name="T89" fmla="*/ 493 h 892"/>
                            <a:gd name="T90" fmla="*/ 122 w 878"/>
                            <a:gd name="T91" fmla="*/ 567 h 892"/>
                            <a:gd name="T92" fmla="*/ 156 w 878"/>
                            <a:gd name="T93" fmla="*/ 615 h 892"/>
                            <a:gd name="T94" fmla="*/ 228 w 878"/>
                            <a:gd name="T95" fmla="*/ 642 h 892"/>
                            <a:gd name="T96" fmla="*/ 294 w 878"/>
                            <a:gd name="T97" fmla="*/ 655 h 892"/>
                            <a:gd name="T98" fmla="*/ 339 w 878"/>
                            <a:gd name="T99" fmla="*/ 655 h 892"/>
                            <a:gd name="T100" fmla="*/ 378 w 878"/>
                            <a:gd name="T101" fmla="*/ 669 h 892"/>
                            <a:gd name="T102" fmla="*/ 461 w 878"/>
                            <a:gd name="T103" fmla="*/ 716 h 892"/>
                            <a:gd name="T104" fmla="*/ 528 w 878"/>
                            <a:gd name="T105" fmla="*/ 784 h 892"/>
                            <a:gd name="T106" fmla="*/ 567 w 878"/>
                            <a:gd name="T107" fmla="*/ 763 h 892"/>
                            <a:gd name="T108" fmla="*/ 600 w 878"/>
                            <a:gd name="T109" fmla="*/ 743 h 892"/>
                            <a:gd name="T110" fmla="*/ 656 w 878"/>
                            <a:gd name="T111" fmla="*/ 716 h 892"/>
                            <a:gd name="T112" fmla="*/ 728 w 878"/>
                            <a:gd name="T113" fmla="*/ 662 h 892"/>
                            <a:gd name="T114" fmla="*/ 772 w 878"/>
                            <a:gd name="T115" fmla="*/ 59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78" h="892">
                              <a:moveTo>
                                <a:pt x="778" y="574"/>
                              </a:moveTo>
                              <a:lnTo>
                                <a:pt x="778" y="250"/>
                              </a:lnTo>
                              <a:lnTo>
                                <a:pt x="772" y="203"/>
                              </a:lnTo>
                              <a:lnTo>
                                <a:pt x="761" y="176"/>
                              </a:lnTo>
                              <a:lnTo>
                                <a:pt x="739" y="149"/>
                              </a:lnTo>
                              <a:lnTo>
                                <a:pt x="717" y="128"/>
                              </a:lnTo>
                              <a:lnTo>
                                <a:pt x="689" y="115"/>
                              </a:lnTo>
                              <a:lnTo>
                                <a:pt x="656" y="108"/>
                              </a:lnTo>
                              <a:lnTo>
                                <a:pt x="617" y="108"/>
                              </a:lnTo>
                              <a:lnTo>
                                <a:pt x="578" y="108"/>
                              </a:lnTo>
                              <a:lnTo>
                                <a:pt x="561" y="108"/>
                              </a:lnTo>
                              <a:lnTo>
                                <a:pt x="539" y="108"/>
                              </a:lnTo>
                              <a:lnTo>
                                <a:pt x="522" y="115"/>
                              </a:lnTo>
                              <a:lnTo>
                                <a:pt x="506" y="122"/>
                              </a:lnTo>
                              <a:lnTo>
                                <a:pt x="489" y="122"/>
                              </a:lnTo>
                              <a:lnTo>
                                <a:pt x="472" y="128"/>
                              </a:lnTo>
                              <a:lnTo>
                                <a:pt x="456" y="135"/>
                              </a:lnTo>
                              <a:lnTo>
                                <a:pt x="439" y="142"/>
                              </a:lnTo>
                              <a:lnTo>
                                <a:pt x="433" y="115"/>
                              </a:lnTo>
                              <a:lnTo>
                                <a:pt x="439" y="108"/>
                              </a:lnTo>
                              <a:lnTo>
                                <a:pt x="461" y="95"/>
                              </a:lnTo>
                              <a:lnTo>
                                <a:pt x="478" y="88"/>
                              </a:lnTo>
                              <a:lnTo>
                                <a:pt x="506" y="74"/>
                              </a:lnTo>
                              <a:lnTo>
                                <a:pt x="528" y="68"/>
                              </a:lnTo>
                              <a:lnTo>
                                <a:pt x="544" y="61"/>
                              </a:lnTo>
                              <a:lnTo>
                                <a:pt x="561" y="54"/>
                              </a:lnTo>
                              <a:lnTo>
                                <a:pt x="567" y="54"/>
                              </a:lnTo>
                              <a:lnTo>
                                <a:pt x="611" y="41"/>
                              </a:lnTo>
                              <a:lnTo>
                                <a:pt x="661" y="41"/>
                              </a:lnTo>
                              <a:lnTo>
                                <a:pt x="706" y="41"/>
                              </a:lnTo>
                              <a:lnTo>
                                <a:pt x="750" y="54"/>
                              </a:lnTo>
                              <a:lnTo>
                                <a:pt x="789" y="68"/>
                              </a:lnTo>
                              <a:lnTo>
                                <a:pt x="822" y="95"/>
                              </a:lnTo>
                              <a:lnTo>
                                <a:pt x="833" y="108"/>
                              </a:lnTo>
                              <a:lnTo>
                                <a:pt x="850" y="122"/>
                              </a:lnTo>
                              <a:lnTo>
                                <a:pt x="856" y="142"/>
                              </a:lnTo>
                              <a:lnTo>
                                <a:pt x="867" y="162"/>
                              </a:lnTo>
                              <a:lnTo>
                                <a:pt x="867" y="176"/>
                              </a:lnTo>
                              <a:lnTo>
                                <a:pt x="872" y="189"/>
                              </a:lnTo>
                              <a:lnTo>
                                <a:pt x="872" y="196"/>
                              </a:lnTo>
                              <a:lnTo>
                                <a:pt x="872" y="209"/>
                              </a:lnTo>
                              <a:lnTo>
                                <a:pt x="872" y="223"/>
                              </a:lnTo>
                              <a:lnTo>
                                <a:pt x="878" y="236"/>
                              </a:lnTo>
                              <a:lnTo>
                                <a:pt x="878" y="250"/>
                              </a:lnTo>
                              <a:lnTo>
                                <a:pt x="878" y="264"/>
                              </a:lnTo>
                              <a:lnTo>
                                <a:pt x="878" y="567"/>
                              </a:lnTo>
                              <a:lnTo>
                                <a:pt x="872" y="594"/>
                              </a:lnTo>
                              <a:lnTo>
                                <a:pt x="867" y="621"/>
                              </a:lnTo>
                              <a:lnTo>
                                <a:pt x="861" y="649"/>
                              </a:lnTo>
                              <a:lnTo>
                                <a:pt x="845" y="669"/>
                              </a:lnTo>
                              <a:lnTo>
                                <a:pt x="828" y="696"/>
                              </a:lnTo>
                              <a:lnTo>
                                <a:pt x="811" y="716"/>
                              </a:lnTo>
                              <a:lnTo>
                                <a:pt x="789" y="736"/>
                              </a:lnTo>
                              <a:lnTo>
                                <a:pt x="772" y="750"/>
                              </a:lnTo>
                              <a:lnTo>
                                <a:pt x="733" y="770"/>
                              </a:lnTo>
                              <a:lnTo>
                                <a:pt x="700" y="790"/>
                              </a:lnTo>
                              <a:lnTo>
                                <a:pt x="672" y="797"/>
                              </a:lnTo>
                              <a:lnTo>
                                <a:pt x="645" y="811"/>
                              </a:lnTo>
                              <a:lnTo>
                                <a:pt x="617" y="824"/>
                              </a:lnTo>
                              <a:lnTo>
                                <a:pt x="589" y="838"/>
                              </a:lnTo>
                              <a:lnTo>
                                <a:pt x="556" y="865"/>
                              </a:lnTo>
                              <a:lnTo>
                                <a:pt x="522" y="892"/>
                              </a:lnTo>
                              <a:lnTo>
                                <a:pt x="500" y="858"/>
                              </a:lnTo>
                              <a:lnTo>
                                <a:pt x="478" y="831"/>
                              </a:lnTo>
                              <a:lnTo>
                                <a:pt x="456" y="811"/>
                              </a:lnTo>
                              <a:lnTo>
                                <a:pt x="433" y="797"/>
                              </a:lnTo>
                              <a:lnTo>
                                <a:pt x="406" y="784"/>
                              </a:lnTo>
                              <a:lnTo>
                                <a:pt x="383" y="770"/>
                              </a:lnTo>
                              <a:lnTo>
                                <a:pt x="361" y="763"/>
                              </a:lnTo>
                              <a:lnTo>
                                <a:pt x="339" y="757"/>
                              </a:lnTo>
                              <a:lnTo>
                                <a:pt x="294" y="750"/>
                              </a:lnTo>
                              <a:lnTo>
                                <a:pt x="244" y="743"/>
                              </a:lnTo>
                              <a:lnTo>
                                <a:pt x="189" y="730"/>
                              </a:lnTo>
                              <a:lnTo>
                                <a:pt x="139" y="716"/>
                              </a:lnTo>
                              <a:lnTo>
                                <a:pt x="89" y="689"/>
                              </a:lnTo>
                              <a:lnTo>
                                <a:pt x="44" y="662"/>
                              </a:lnTo>
                              <a:lnTo>
                                <a:pt x="28" y="642"/>
                              </a:lnTo>
                              <a:lnTo>
                                <a:pt x="17" y="615"/>
                              </a:lnTo>
                              <a:lnTo>
                                <a:pt x="5" y="588"/>
                              </a:lnTo>
                              <a:lnTo>
                                <a:pt x="0" y="561"/>
                              </a:lnTo>
                              <a:lnTo>
                                <a:pt x="0" y="196"/>
                              </a:lnTo>
                              <a:lnTo>
                                <a:pt x="0" y="176"/>
                              </a:lnTo>
                              <a:lnTo>
                                <a:pt x="5" y="155"/>
                              </a:lnTo>
                              <a:lnTo>
                                <a:pt x="11" y="142"/>
                              </a:lnTo>
                              <a:lnTo>
                                <a:pt x="17" y="122"/>
                              </a:lnTo>
                              <a:lnTo>
                                <a:pt x="28" y="101"/>
                              </a:lnTo>
                              <a:lnTo>
                                <a:pt x="44" y="88"/>
                              </a:lnTo>
                              <a:lnTo>
                                <a:pt x="61" y="68"/>
                              </a:lnTo>
                              <a:lnTo>
                                <a:pt x="89" y="47"/>
                              </a:lnTo>
                              <a:lnTo>
                                <a:pt x="111" y="34"/>
                              </a:lnTo>
                              <a:lnTo>
                                <a:pt x="139" y="20"/>
                              </a:lnTo>
                              <a:lnTo>
                                <a:pt x="172" y="14"/>
                              </a:lnTo>
                              <a:lnTo>
                                <a:pt x="200" y="7"/>
                              </a:lnTo>
                              <a:lnTo>
                                <a:pt x="233" y="7"/>
                              </a:lnTo>
                              <a:lnTo>
                                <a:pt x="261" y="7"/>
                              </a:lnTo>
                              <a:lnTo>
                                <a:pt x="294" y="7"/>
                              </a:lnTo>
                              <a:lnTo>
                                <a:pt x="322" y="20"/>
                              </a:lnTo>
                              <a:lnTo>
                                <a:pt x="344" y="20"/>
                              </a:lnTo>
                              <a:lnTo>
                                <a:pt x="367" y="27"/>
                              </a:lnTo>
                              <a:lnTo>
                                <a:pt x="394" y="27"/>
                              </a:lnTo>
                              <a:lnTo>
                                <a:pt x="422" y="27"/>
                              </a:lnTo>
                              <a:lnTo>
                                <a:pt x="444" y="20"/>
                              </a:lnTo>
                              <a:lnTo>
                                <a:pt x="472" y="20"/>
                              </a:lnTo>
                              <a:lnTo>
                                <a:pt x="494" y="7"/>
                              </a:lnTo>
                              <a:lnTo>
                                <a:pt x="511" y="0"/>
                              </a:lnTo>
                              <a:lnTo>
                                <a:pt x="517" y="14"/>
                              </a:lnTo>
                              <a:lnTo>
                                <a:pt x="494" y="34"/>
                              </a:lnTo>
                              <a:lnTo>
                                <a:pt x="472" y="54"/>
                              </a:lnTo>
                              <a:lnTo>
                                <a:pt x="450" y="68"/>
                              </a:lnTo>
                              <a:lnTo>
                                <a:pt x="428" y="74"/>
                              </a:lnTo>
                              <a:lnTo>
                                <a:pt x="400" y="81"/>
                              </a:lnTo>
                              <a:lnTo>
                                <a:pt x="378" y="81"/>
                              </a:lnTo>
                              <a:lnTo>
                                <a:pt x="344" y="81"/>
                              </a:lnTo>
                              <a:lnTo>
                                <a:pt x="317" y="74"/>
                              </a:lnTo>
                              <a:lnTo>
                                <a:pt x="289" y="68"/>
                              </a:lnTo>
                              <a:lnTo>
                                <a:pt x="261" y="68"/>
                              </a:lnTo>
                              <a:lnTo>
                                <a:pt x="233" y="61"/>
                              </a:lnTo>
                              <a:lnTo>
                                <a:pt x="206" y="68"/>
                              </a:lnTo>
                              <a:lnTo>
                                <a:pt x="183" y="74"/>
                              </a:lnTo>
                              <a:lnTo>
                                <a:pt x="161" y="81"/>
                              </a:lnTo>
                              <a:lnTo>
                                <a:pt x="144" y="95"/>
                              </a:lnTo>
                              <a:lnTo>
                                <a:pt x="128" y="115"/>
                              </a:lnTo>
                              <a:lnTo>
                                <a:pt x="122" y="135"/>
                              </a:lnTo>
                              <a:lnTo>
                                <a:pt x="117" y="149"/>
                              </a:lnTo>
                              <a:lnTo>
                                <a:pt x="111" y="169"/>
                              </a:lnTo>
                              <a:lnTo>
                                <a:pt x="111" y="182"/>
                              </a:lnTo>
                              <a:lnTo>
                                <a:pt x="111" y="203"/>
                              </a:lnTo>
                              <a:lnTo>
                                <a:pt x="111" y="223"/>
                              </a:lnTo>
                              <a:lnTo>
                                <a:pt x="106" y="243"/>
                              </a:lnTo>
                              <a:lnTo>
                                <a:pt x="106" y="264"/>
                              </a:lnTo>
                              <a:lnTo>
                                <a:pt x="106" y="459"/>
                              </a:lnTo>
                              <a:lnTo>
                                <a:pt x="111" y="493"/>
                              </a:lnTo>
                              <a:lnTo>
                                <a:pt x="111" y="527"/>
                              </a:lnTo>
                              <a:lnTo>
                                <a:pt x="117" y="547"/>
                              </a:lnTo>
                              <a:lnTo>
                                <a:pt x="122" y="567"/>
                              </a:lnTo>
                              <a:lnTo>
                                <a:pt x="128" y="588"/>
                              </a:lnTo>
                              <a:lnTo>
                                <a:pt x="139" y="601"/>
                              </a:lnTo>
                              <a:lnTo>
                                <a:pt x="156" y="615"/>
                              </a:lnTo>
                              <a:lnTo>
                                <a:pt x="178" y="628"/>
                              </a:lnTo>
                              <a:lnTo>
                                <a:pt x="200" y="635"/>
                              </a:lnTo>
                              <a:lnTo>
                                <a:pt x="228" y="642"/>
                              </a:lnTo>
                              <a:lnTo>
                                <a:pt x="250" y="649"/>
                              </a:lnTo>
                              <a:lnTo>
                                <a:pt x="272" y="649"/>
                              </a:lnTo>
                              <a:lnTo>
                                <a:pt x="294" y="655"/>
                              </a:lnTo>
                              <a:lnTo>
                                <a:pt x="311" y="655"/>
                              </a:lnTo>
                              <a:lnTo>
                                <a:pt x="328" y="655"/>
                              </a:lnTo>
                              <a:lnTo>
                                <a:pt x="339" y="655"/>
                              </a:lnTo>
                              <a:lnTo>
                                <a:pt x="344" y="662"/>
                              </a:lnTo>
                              <a:lnTo>
                                <a:pt x="356" y="662"/>
                              </a:lnTo>
                              <a:lnTo>
                                <a:pt x="378" y="669"/>
                              </a:lnTo>
                              <a:lnTo>
                                <a:pt x="400" y="676"/>
                              </a:lnTo>
                              <a:lnTo>
                                <a:pt x="433" y="696"/>
                              </a:lnTo>
                              <a:lnTo>
                                <a:pt x="461" y="716"/>
                              </a:lnTo>
                              <a:lnTo>
                                <a:pt x="494" y="743"/>
                              </a:lnTo>
                              <a:lnTo>
                                <a:pt x="528" y="784"/>
                              </a:lnTo>
                              <a:lnTo>
                                <a:pt x="539" y="777"/>
                              </a:lnTo>
                              <a:lnTo>
                                <a:pt x="550" y="770"/>
                              </a:lnTo>
                              <a:lnTo>
                                <a:pt x="567" y="763"/>
                              </a:lnTo>
                              <a:lnTo>
                                <a:pt x="578" y="757"/>
                              </a:lnTo>
                              <a:lnTo>
                                <a:pt x="589" y="750"/>
                              </a:lnTo>
                              <a:lnTo>
                                <a:pt x="600" y="743"/>
                              </a:lnTo>
                              <a:lnTo>
                                <a:pt x="617" y="736"/>
                              </a:lnTo>
                              <a:lnTo>
                                <a:pt x="628" y="730"/>
                              </a:lnTo>
                              <a:lnTo>
                                <a:pt x="656" y="716"/>
                              </a:lnTo>
                              <a:lnTo>
                                <a:pt x="678" y="703"/>
                              </a:lnTo>
                              <a:lnTo>
                                <a:pt x="706" y="682"/>
                              </a:lnTo>
                              <a:lnTo>
                                <a:pt x="728" y="662"/>
                              </a:lnTo>
                              <a:lnTo>
                                <a:pt x="745" y="642"/>
                              </a:lnTo>
                              <a:lnTo>
                                <a:pt x="761" y="621"/>
                              </a:lnTo>
                              <a:lnTo>
                                <a:pt x="772" y="594"/>
                              </a:lnTo>
                              <a:lnTo>
                                <a:pt x="778" y="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257" y="547"/>
                          <a:ext cx="5882" cy="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665" w:rsidRDefault="00510665" w:rsidP="00A665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0665" w:rsidRPr="001D4BD6" w:rsidRDefault="00510665" w:rsidP="00A665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43CD28" id="Grupa 1" o:spid="_x0000_s1026" style="position:absolute;left:0;text-align:left;margin-left:57.75pt;margin-top:11pt;width:335.1pt;height:34.15pt;z-index:251658240" coordorigin="1012,517" coordsize="7127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">
              <v:shape id="Freeform 4" o:spid="_x0000_s1027" style="position:absolute;left:1012;top:517;width:817;height:694;visibility:visible;mso-wrap-style:square;v-text-anchor:top" coordsize="878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" path="m778,574r,-324l772,203,761,176,739,149,717,128,689,115r-33,-7l617,108r-39,l561,108r-22,l522,115r-16,7l489,122r-17,6l456,135r-17,7l433,115r6,-7l461,95r17,-7l506,74r22,-6l544,61r17,-7l567,54,611,41r50,l706,41r44,13l789,68r33,27l833,108r17,14l856,142r11,20l867,176r5,13l872,196r,13l872,223r6,13l878,250r,14l878,567r-6,27l867,621r-6,28l845,669r-17,27l811,716r-22,20l772,750r-39,20l700,790r-28,7l645,811r-28,13l589,838r-33,27l522,892,500,858,478,831,456,811,433,797,406,784,383,770r-22,-7l339,757r-45,-7l244,743,189,730,139,716,89,689,44,662,28,642,17,615,5,588,,561,,196,,176,5,155r6,-13l17,122,28,101,44,88,61,68,89,47,111,34,139,20r33,-6l200,7r33,l261,7r33,l322,20r22,l367,27r27,l422,27r22,-7l472,20,494,7,511,r6,14l494,34,472,54,450,68r-22,6l400,81r-22,l344,81,317,74,289,68r-28,l233,61r-27,7l183,74r-22,7l144,95r-16,20l122,135r-5,14l111,169r,13l111,203r,20l106,243r,21l106,459r5,34l111,527r6,20l122,567r6,21l139,601r17,14l178,628r22,7l228,642r22,7l272,649r22,6l311,655r17,l339,655r5,7l356,662r22,7l400,676r33,20l461,716r33,27l528,784r11,-7l550,770r17,-7l578,757r11,-7l600,743r17,-7l628,730r28,-14l678,703r28,-21l728,662r17,-20l761,621r11,-27l778,574xe" stroked="f">
                <v:path arrowok="t" o:connecttype="custom" o:connectlocs="718,158;667,100;574,84;502,84;455,95;409,110;429,74;491,53;528,42;657,32;765,74;797,110;811,147;811,174;817,205;807,483;770,542;718,584;625,620;548,652;486,694;424,631;356,599;274,584;129,557;26,499;0,436;5,121;26,79;83,37;160,11;243,5;320,16;393,21;460,5;481,11;439,42;372,63;295,58;217,47;150,63;114,105;103,142;99,189;103,384;114,441;145,478;212,499;274,510;315,510;352,521;429,557;491,610;528,594;558,578;610,557;677,515;718,462" o:connectangles="0,0,0,0,0,0,0,0,0,0,0,0,0,0,0,0,0,0,0,0,0,0,0,0,0,0,0,0,0,0,0,0,0,0,0,0,0,0,0,0,0,0,0,0,0,0,0,0,0,0,0,0,0,0,0,0,0,0"/>
              </v:shape>
              <v:rect id="Rectangle 5" o:spid="_x0000_s1028" style="position:absolute;left:2257;top:547;width:588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<v:textbox>
                  <w:txbxContent>
                    <w:p w:rsidR="00510665" w:rsidRDefault="00510665" w:rsidP="00A665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0665" w:rsidRPr="001D4BD6" w:rsidRDefault="00510665" w:rsidP="00A665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15" w:rsidRDefault="00BD0515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7E19D1" wp14:editId="02B14B42">
              <wp:simplePos x="0" y="0"/>
              <wp:positionH relativeFrom="column">
                <wp:posOffset>690880</wp:posOffset>
              </wp:positionH>
              <wp:positionV relativeFrom="paragraph">
                <wp:posOffset>153943</wp:posOffset>
              </wp:positionV>
              <wp:extent cx="4312049" cy="63610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2049" cy="636100"/>
                        <a:chOff x="790" y="385"/>
                        <a:chExt cx="7221" cy="981"/>
                      </a:xfrm>
                    </wpg:grpSpPr>
                    <wpg:grpSp>
                      <wpg:cNvPr id="3" name="Group 28"/>
                      <wpg:cNvGrpSpPr>
                        <a:grpSpLocks/>
                      </wpg:cNvGrpSpPr>
                      <wpg:grpSpPr bwMode="auto">
                        <a:xfrm>
                          <a:off x="790" y="412"/>
                          <a:ext cx="1241" cy="899"/>
                          <a:chOff x="0" y="0"/>
                          <a:chExt cx="1334" cy="1155"/>
                        </a:xfrm>
                      </wpg:grpSpPr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34" cy="1155"/>
                          </a:xfrm>
                          <a:custGeom>
                            <a:avLst/>
                            <a:gdLst>
                              <a:gd name="T0" fmla="*/ 256 w 1334"/>
                              <a:gd name="T1" fmla="*/ 0 h 1155"/>
                              <a:gd name="T2" fmla="*/ 1334 w 1334"/>
                              <a:gd name="T3" fmla="*/ 0 h 1155"/>
                              <a:gd name="T4" fmla="*/ 1078 w 1334"/>
                              <a:gd name="T5" fmla="*/ 1155 h 1155"/>
                              <a:gd name="T6" fmla="*/ 0 w 1334"/>
                              <a:gd name="T7" fmla="*/ 1155 h 1155"/>
                              <a:gd name="T8" fmla="*/ 256 w 1334"/>
                              <a:gd name="T9" fmla="*/ 0 h 115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4" h="1155">
                                <a:moveTo>
                                  <a:pt x="256" y="0"/>
                                </a:moveTo>
                                <a:lnTo>
                                  <a:pt x="1334" y="0"/>
                                </a:lnTo>
                                <a:lnTo>
                                  <a:pt x="1078" y="1155"/>
                                </a:lnTo>
                                <a:lnTo>
                                  <a:pt x="0" y="1155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D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0"/>
                        <wps:cNvSpPr>
                          <a:spLocks/>
                        </wps:cNvSpPr>
                        <wps:spPr bwMode="auto">
                          <a:xfrm>
                            <a:off x="239" y="135"/>
                            <a:ext cx="878" cy="892"/>
                          </a:xfrm>
                          <a:custGeom>
                            <a:avLst/>
                            <a:gdLst>
                              <a:gd name="T0" fmla="*/ 772 w 878"/>
                              <a:gd name="T1" fmla="*/ 203 h 892"/>
                              <a:gd name="T2" fmla="*/ 717 w 878"/>
                              <a:gd name="T3" fmla="*/ 128 h 892"/>
                              <a:gd name="T4" fmla="*/ 617 w 878"/>
                              <a:gd name="T5" fmla="*/ 108 h 892"/>
                              <a:gd name="T6" fmla="*/ 539 w 878"/>
                              <a:gd name="T7" fmla="*/ 108 h 892"/>
                              <a:gd name="T8" fmla="*/ 489 w 878"/>
                              <a:gd name="T9" fmla="*/ 122 h 892"/>
                              <a:gd name="T10" fmla="*/ 439 w 878"/>
                              <a:gd name="T11" fmla="*/ 142 h 892"/>
                              <a:gd name="T12" fmla="*/ 461 w 878"/>
                              <a:gd name="T13" fmla="*/ 95 h 892"/>
                              <a:gd name="T14" fmla="*/ 528 w 878"/>
                              <a:gd name="T15" fmla="*/ 68 h 892"/>
                              <a:gd name="T16" fmla="*/ 567 w 878"/>
                              <a:gd name="T17" fmla="*/ 54 h 892"/>
                              <a:gd name="T18" fmla="*/ 706 w 878"/>
                              <a:gd name="T19" fmla="*/ 41 h 892"/>
                              <a:gd name="T20" fmla="*/ 822 w 878"/>
                              <a:gd name="T21" fmla="*/ 95 h 892"/>
                              <a:gd name="T22" fmla="*/ 856 w 878"/>
                              <a:gd name="T23" fmla="*/ 142 h 892"/>
                              <a:gd name="T24" fmla="*/ 872 w 878"/>
                              <a:gd name="T25" fmla="*/ 189 h 892"/>
                              <a:gd name="T26" fmla="*/ 872 w 878"/>
                              <a:gd name="T27" fmla="*/ 223 h 892"/>
                              <a:gd name="T28" fmla="*/ 878 w 878"/>
                              <a:gd name="T29" fmla="*/ 264 h 892"/>
                              <a:gd name="T30" fmla="*/ 867 w 878"/>
                              <a:gd name="T31" fmla="*/ 621 h 892"/>
                              <a:gd name="T32" fmla="*/ 828 w 878"/>
                              <a:gd name="T33" fmla="*/ 696 h 892"/>
                              <a:gd name="T34" fmla="*/ 772 w 878"/>
                              <a:gd name="T35" fmla="*/ 750 h 892"/>
                              <a:gd name="T36" fmla="*/ 672 w 878"/>
                              <a:gd name="T37" fmla="*/ 797 h 892"/>
                              <a:gd name="T38" fmla="*/ 589 w 878"/>
                              <a:gd name="T39" fmla="*/ 838 h 892"/>
                              <a:gd name="T40" fmla="*/ 522 w 878"/>
                              <a:gd name="T41" fmla="*/ 892 h 892"/>
                              <a:gd name="T42" fmla="*/ 456 w 878"/>
                              <a:gd name="T43" fmla="*/ 811 h 892"/>
                              <a:gd name="T44" fmla="*/ 383 w 878"/>
                              <a:gd name="T45" fmla="*/ 770 h 892"/>
                              <a:gd name="T46" fmla="*/ 294 w 878"/>
                              <a:gd name="T47" fmla="*/ 750 h 892"/>
                              <a:gd name="T48" fmla="*/ 139 w 878"/>
                              <a:gd name="T49" fmla="*/ 716 h 892"/>
                              <a:gd name="T50" fmla="*/ 28 w 878"/>
                              <a:gd name="T51" fmla="*/ 642 h 892"/>
                              <a:gd name="T52" fmla="*/ 0 w 878"/>
                              <a:gd name="T53" fmla="*/ 561 h 892"/>
                              <a:gd name="T54" fmla="*/ 5 w 878"/>
                              <a:gd name="T55" fmla="*/ 155 h 892"/>
                              <a:gd name="T56" fmla="*/ 28 w 878"/>
                              <a:gd name="T57" fmla="*/ 101 h 892"/>
                              <a:gd name="T58" fmla="*/ 89 w 878"/>
                              <a:gd name="T59" fmla="*/ 47 h 892"/>
                              <a:gd name="T60" fmla="*/ 172 w 878"/>
                              <a:gd name="T61" fmla="*/ 14 h 892"/>
                              <a:gd name="T62" fmla="*/ 261 w 878"/>
                              <a:gd name="T63" fmla="*/ 7 h 892"/>
                              <a:gd name="T64" fmla="*/ 344 w 878"/>
                              <a:gd name="T65" fmla="*/ 20 h 892"/>
                              <a:gd name="T66" fmla="*/ 422 w 878"/>
                              <a:gd name="T67" fmla="*/ 27 h 892"/>
                              <a:gd name="T68" fmla="*/ 494 w 878"/>
                              <a:gd name="T69" fmla="*/ 7 h 892"/>
                              <a:gd name="T70" fmla="*/ 517 w 878"/>
                              <a:gd name="T71" fmla="*/ 14 h 892"/>
                              <a:gd name="T72" fmla="*/ 472 w 878"/>
                              <a:gd name="T73" fmla="*/ 54 h 892"/>
                              <a:gd name="T74" fmla="*/ 400 w 878"/>
                              <a:gd name="T75" fmla="*/ 81 h 892"/>
                              <a:gd name="T76" fmla="*/ 317 w 878"/>
                              <a:gd name="T77" fmla="*/ 74 h 892"/>
                              <a:gd name="T78" fmla="*/ 233 w 878"/>
                              <a:gd name="T79" fmla="*/ 61 h 892"/>
                              <a:gd name="T80" fmla="*/ 161 w 878"/>
                              <a:gd name="T81" fmla="*/ 81 h 892"/>
                              <a:gd name="T82" fmla="*/ 122 w 878"/>
                              <a:gd name="T83" fmla="*/ 135 h 892"/>
                              <a:gd name="T84" fmla="*/ 111 w 878"/>
                              <a:gd name="T85" fmla="*/ 182 h 892"/>
                              <a:gd name="T86" fmla="*/ 106 w 878"/>
                              <a:gd name="T87" fmla="*/ 243 h 892"/>
                              <a:gd name="T88" fmla="*/ 111 w 878"/>
                              <a:gd name="T89" fmla="*/ 493 h 892"/>
                              <a:gd name="T90" fmla="*/ 122 w 878"/>
                              <a:gd name="T91" fmla="*/ 567 h 892"/>
                              <a:gd name="T92" fmla="*/ 156 w 878"/>
                              <a:gd name="T93" fmla="*/ 615 h 892"/>
                              <a:gd name="T94" fmla="*/ 228 w 878"/>
                              <a:gd name="T95" fmla="*/ 642 h 892"/>
                              <a:gd name="T96" fmla="*/ 294 w 878"/>
                              <a:gd name="T97" fmla="*/ 655 h 892"/>
                              <a:gd name="T98" fmla="*/ 339 w 878"/>
                              <a:gd name="T99" fmla="*/ 655 h 892"/>
                              <a:gd name="T100" fmla="*/ 378 w 878"/>
                              <a:gd name="T101" fmla="*/ 669 h 892"/>
                              <a:gd name="T102" fmla="*/ 461 w 878"/>
                              <a:gd name="T103" fmla="*/ 716 h 892"/>
                              <a:gd name="T104" fmla="*/ 528 w 878"/>
                              <a:gd name="T105" fmla="*/ 784 h 892"/>
                              <a:gd name="T106" fmla="*/ 567 w 878"/>
                              <a:gd name="T107" fmla="*/ 763 h 892"/>
                              <a:gd name="T108" fmla="*/ 600 w 878"/>
                              <a:gd name="T109" fmla="*/ 743 h 892"/>
                              <a:gd name="T110" fmla="*/ 656 w 878"/>
                              <a:gd name="T111" fmla="*/ 716 h 892"/>
                              <a:gd name="T112" fmla="*/ 728 w 878"/>
                              <a:gd name="T113" fmla="*/ 662 h 892"/>
                              <a:gd name="T114" fmla="*/ 772 w 878"/>
                              <a:gd name="T115" fmla="*/ 594 h 89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78" h="892">
                                <a:moveTo>
                                  <a:pt x="778" y="574"/>
                                </a:moveTo>
                                <a:lnTo>
                                  <a:pt x="778" y="250"/>
                                </a:lnTo>
                                <a:lnTo>
                                  <a:pt x="772" y="203"/>
                                </a:lnTo>
                                <a:lnTo>
                                  <a:pt x="761" y="176"/>
                                </a:lnTo>
                                <a:lnTo>
                                  <a:pt x="739" y="149"/>
                                </a:lnTo>
                                <a:lnTo>
                                  <a:pt x="717" y="128"/>
                                </a:lnTo>
                                <a:lnTo>
                                  <a:pt x="689" y="115"/>
                                </a:lnTo>
                                <a:lnTo>
                                  <a:pt x="656" y="108"/>
                                </a:lnTo>
                                <a:lnTo>
                                  <a:pt x="617" y="108"/>
                                </a:lnTo>
                                <a:lnTo>
                                  <a:pt x="578" y="108"/>
                                </a:lnTo>
                                <a:lnTo>
                                  <a:pt x="561" y="108"/>
                                </a:lnTo>
                                <a:lnTo>
                                  <a:pt x="539" y="108"/>
                                </a:lnTo>
                                <a:lnTo>
                                  <a:pt x="522" y="115"/>
                                </a:lnTo>
                                <a:lnTo>
                                  <a:pt x="506" y="122"/>
                                </a:lnTo>
                                <a:lnTo>
                                  <a:pt x="489" y="122"/>
                                </a:lnTo>
                                <a:lnTo>
                                  <a:pt x="472" y="128"/>
                                </a:lnTo>
                                <a:lnTo>
                                  <a:pt x="456" y="135"/>
                                </a:lnTo>
                                <a:lnTo>
                                  <a:pt x="439" y="142"/>
                                </a:lnTo>
                                <a:lnTo>
                                  <a:pt x="433" y="115"/>
                                </a:lnTo>
                                <a:lnTo>
                                  <a:pt x="439" y="108"/>
                                </a:lnTo>
                                <a:lnTo>
                                  <a:pt x="461" y="95"/>
                                </a:lnTo>
                                <a:lnTo>
                                  <a:pt x="478" y="88"/>
                                </a:lnTo>
                                <a:lnTo>
                                  <a:pt x="506" y="74"/>
                                </a:lnTo>
                                <a:lnTo>
                                  <a:pt x="528" y="68"/>
                                </a:lnTo>
                                <a:lnTo>
                                  <a:pt x="544" y="61"/>
                                </a:lnTo>
                                <a:lnTo>
                                  <a:pt x="561" y="54"/>
                                </a:lnTo>
                                <a:lnTo>
                                  <a:pt x="567" y="54"/>
                                </a:lnTo>
                                <a:lnTo>
                                  <a:pt x="611" y="41"/>
                                </a:lnTo>
                                <a:lnTo>
                                  <a:pt x="661" y="41"/>
                                </a:lnTo>
                                <a:lnTo>
                                  <a:pt x="706" y="41"/>
                                </a:lnTo>
                                <a:lnTo>
                                  <a:pt x="750" y="54"/>
                                </a:lnTo>
                                <a:lnTo>
                                  <a:pt x="789" y="68"/>
                                </a:lnTo>
                                <a:lnTo>
                                  <a:pt x="822" y="95"/>
                                </a:lnTo>
                                <a:lnTo>
                                  <a:pt x="833" y="108"/>
                                </a:lnTo>
                                <a:lnTo>
                                  <a:pt x="850" y="122"/>
                                </a:lnTo>
                                <a:lnTo>
                                  <a:pt x="856" y="142"/>
                                </a:lnTo>
                                <a:lnTo>
                                  <a:pt x="867" y="162"/>
                                </a:lnTo>
                                <a:lnTo>
                                  <a:pt x="867" y="176"/>
                                </a:lnTo>
                                <a:lnTo>
                                  <a:pt x="872" y="189"/>
                                </a:lnTo>
                                <a:lnTo>
                                  <a:pt x="872" y="196"/>
                                </a:lnTo>
                                <a:lnTo>
                                  <a:pt x="872" y="209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36"/>
                                </a:lnTo>
                                <a:lnTo>
                                  <a:pt x="878" y="250"/>
                                </a:lnTo>
                                <a:lnTo>
                                  <a:pt x="878" y="264"/>
                                </a:lnTo>
                                <a:lnTo>
                                  <a:pt x="878" y="567"/>
                                </a:lnTo>
                                <a:lnTo>
                                  <a:pt x="872" y="594"/>
                                </a:lnTo>
                                <a:lnTo>
                                  <a:pt x="867" y="621"/>
                                </a:lnTo>
                                <a:lnTo>
                                  <a:pt x="861" y="649"/>
                                </a:lnTo>
                                <a:lnTo>
                                  <a:pt x="845" y="669"/>
                                </a:lnTo>
                                <a:lnTo>
                                  <a:pt x="828" y="696"/>
                                </a:lnTo>
                                <a:lnTo>
                                  <a:pt x="811" y="716"/>
                                </a:lnTo>
                                <a:lnTo>
                                  <a:pt x="789" y="736"/>
                                </a:lnTo>
                                <a:lnTo>
                                  <a:pt x="772" y="750"/>
                                </a:lnTo>
                                <a:lnTo>
                                  <a:pt x="733" y="770"/>
                                </a:lnTo>
                                <a:lnTo>
                                  <a:pt x="700" y="790"/>
                                </a:lnTo>
                                <a:lnTo>
                                  <a:pt x="672" y="797"/>
                                </a:lnTo>
                                <a:lnTo>
                                  <a:pt x="645" y="811"/>
                                </a:lnTo>
                                <a:lnTo>
                                  <a:pt x="617" y="824"/>
                                </a:lnTo>
                                <a:lnTo>
                                  <a:pt x="589" y="838"/>
                                </a:lnTo>
                                <a:lnTo>
                                  <a:pt x="556" y="865"/>
                                </a:lnTo>
                                <a:lnTo>
                                  <a:pt x="522" y="892"/>
                                </a:lnTo>
                                <a:lnTo>
                                  <a:pt x="500" y="858"/>
                                </a:lnTo>
                                <a:lnTo>
                                  <a:pt x="478" y="831"/>
                                </a:lnTo>
                                <a:lnTo>
                                  <a:pt x="456" y="811"/>
                                </a:lnTo>
                                <a:lnTo>
                                  <a:pt x="433" y="797"/>
                                </a:lnTo>
                                <a:lnTo>
                                  <a:pt x="406" y="784"/>
                                </a:lnTo>
                                <a:lnTo>
                                  <a:pt x="383" y="770"/>
                                </a:lnTo>
                                <a:lnTo>
                                  <a:pt x="361" y="763"/>
                                </a:lnTo>
                                <a:lnTo>
                                  <a:pt x="339" y="757"/>
                                </a:lnTo>
                                <a:lnTo>
                                  <a:pt x="294" y="750"/>
                                </a:lnTo>
                                <a:lnTo>
                                  <a:pt x="244" y="743"/>
                                </a:lnTo>
                                <a:lnTo>
                                  <a:pt x="189" y="730"/>
                                </a:lnTo>
                                <a:lnTo>
                                  <a:pt x="139" y="716"/>
                                </a:lnTo>
                                <a:lnTo>
                                  <a:pt x="89" y="689"/>
                                </a:lnTo>
                                <a:lnTo>
                                  <a:pt x="44" y="662"/>
                                </a:lnTo>
                                <a:lnTo>
                                  <a:pt x="28" y="642"/>
                                </a:lnTo>
                                <a:lnTo>
                                  <a:pt x="17" y="615"/>
                                </a:lnTo>
                                <a:lnTo>
                                  <a:pt x="5" y="588"/>
                                </a:lnTo>
                                <a:lnTo>
                                  <a:pt x="0" y="561"/>
                                </a:lnTo>
                                <a:lnTo>
                                  <a:pt x="0" y="196"/>
                                </a:lnTo>
                                <a:lnTo>
                                  <a:pt x="0" y="176"/>
                                </a:lnTo>
                                <a:lnTo>
                                  <a:pt x="5" y="155"/>
                                </a:lnTo>
                                <a:lnTo>
                                  <a:pt x="11" y="142"/>
                                </a:lnTo>
                                <a:lnTo>
                                  <a:pt x="17" y="122"/>
                                </a:lnTo>
                                <a:lnTo>
                                  <a:pt x="28" y="101"/>
                                </a:lnTo>
                                <a:lnTo>
                                  <a:pt x="44" y="88"/>
                                </a:lnTo>
                                <a:lnTo>
                                  <a:pt x="61" y="68"/>
                                </a:lnTo>
                                <a:lnTo>
                                  <a:pt x="89" y="47"/>
                                </a:lnTo>
                                <a:lnTo>
                                  <a:pt x="111" y="34"/>
                                </a:lnTo>
                                <a:lnTo>
                                  <a:pt x="139" y="20"/>
                                </a:lnTo>
                                <a:lnTo>
                                  <a:pt x="172" y="14"/>
                                </a:lnTo>
                                <a:lnTo>
                                  <a:pt x="200" y="7"/>
                                </a:lnTo>
                                <a:lnTo>
                                  <a:pt x="233" y="7"/>
                                </a:lnTo>
                                <a:lnTo>
                                  <a:pt x="261" y="7"/>
                                </a:lnTo>
                                <a:lnTo>
                                  <a:pt x="294" y="7"/>
                                </a:lnTo>
                                <a:lnTo>
                                  <a:pt x="322" y="20"/>
                                </a:lnTo>
                                <a:lnTo>
                                  <a:pt x="344" y="20"/>
                                </a:lnTo>
                                <a:lnTo>
                                  <a:pt x="367" y="27"/>
                                </a:lnTo>
                                <a:lnTo>
                                  <a:pt x="394" y="27"/>
                                </a:lnTo>
                                <a:lnTo>
                                  <a:pt x="422" y="27"/>
                                </a:lnTo>
                                <a:lnTo>
                                  <a:pt x="444" y="20"/>
                                </a:lnTo>
                                <a:lnTo>
                                  <a:pt x="472" y="20"/>
                                </a:lnTo>
                                <a:lnTo>
                                  <a:pt x="494" y="7"/>
                                </a:lnTo>
                                <a:lnTo>
                                  <a:pt x="511" y="0"/>
                                </a:lnTo>
                                <a:lnTo>
                                  <a:pt x="517" y="14"/>
                                </a:lnTo>
                                <a:lnTo>
                                  <a:pt x="494" y="34"/>
                                </a:lnTo>
                                <a:lnTo>
                                  <a:pt x="472" y="54"/>
                                </a:lnTo>
                                <a:lnTo>
                                  <a:pt x="450" y="68"/>
                                </a:lnTo>
                                <a:lnTo>
                                  <a:pt x="428" y="74"/>
                                </a:lnTo>
                                <a:lnTo>
                                  <a:pt x="400" y="81"/>
                                </a:lnTo>
                                <a:lnTo>
                                  <a:pt x="378" y="81"/>
                                </a:lnTo>
                                <a:lnTo>
                                  <a:pt x="344" y="81"/>
                                </a:lnTo>
                                <a:lnTo>
                                  <a:pt x="317" y="74"/>
                                </a:lnTo>
                                <a:lnTo>
                                  <a:pt x="289" y="68"/>
                                </a:lnTo>
                                <a:lnTo>
                                  <a:pt x="261" y="68"/>
                                </a:lnTo>
                                <a:lnTo>
                                  <a:pt x="233" y="61"/>
                                </a:lnTo>
                                <a:lnTo>
                                  <a:pt x="206" y="68"/>
                                </a:lnTo>
                                <a:lnTo>
                                  <a:pt x="183" y="74"/>
                                </a:lnTo>
                                <a:lnTo>
                                  <a:pt x="161" y="81"/>
                                </a:lnTo>
                                <a:lnTo>
                                  <a:pt x="144" y="95"/>
                                </a:lnTo>
                                <a:lnTo>
                                  <a:pt x="128" y="115"/>
                                </a:lnTo>
                                <a:lnTo>
                                  <a:pt x="122" y="135"/>
                                </a:lnTo>
                                <a:lnTo>
                                  <a:pt x="117" y="149"/>
                                </a:lnTo>
                                <a:lnTo>
                                  <a:pt x="111" y="169"/>
                                </a:lnTo>
                                <a:lnTo>
                                  <a:pt x="111" y="182"/>
                                </a:lnTo>
                                <a:lnTo>
                                  <a:pt x="111" y="203"/>
                                </a:lnTo>
                                <a:lnTo>
                                  <a:pt x="111" y="223"/>
                                </a:lnTo>
                                <a:lnTo>
                                  <a:pt x="106" y="243"/>
                                </a:lnTo>
                                <a:lnTo>
                                  <a:pt x="106" y="264"/>
                                </a:lnTo>
                                <a:lnTo>
                                  <a:pt x="106" y="459"/>
                                </a:lnTo>
                                <a:lnTo>
                                  <a:pt x="111" y="493"/>
                                </a:lnTo>
                                <a:lnTo>
                                  <a:pt x="111" y="527"/>
                                </a:lnTo>
                                <a:lnTo>
                                  <a:pt x="117" y="547"/>
                                </a:lnTo>
                                <a:lnTo>
                                  <a:pt x="122" y="567"/>
                                </a:lnTo>
                                <a:lnTo>
                                  <a:pt x="128" y="588"/>
                                </a:lnTo>
                                <a:lnTo>
                                  <a:pt x="139" y="601"/>
                                </a:lnTo>
                                <a:lnTo>
                                  <a:pt x="156" y="615"/>
                                </a:lnTo>
                                <a:lnTo>
                                  <a:pt x="178" y="628"/>
                                </a:lnTo>
                                <a:lnTo>
                                  <a:pt x="200" y="635"/>
                                </a:lnTo>
                                <a:lnTo>
                                  <a:pt x="228" y="642"/>
                                </a:lnTo>
                                <a:lnTo>
                                  <a:pt x="250" y="649"/>
                                </a:lnTo>
                                <a:lnTo>
                                  <a:pt x="272" y="649"/>
                                </a:lnTo>
                                <a:lnTo>
                                  <a:pt x="294" y="655"/>
                                </a:lnTo>
                                <a:lnTo>
                                  <a:pt x="311" y="655"/>
                                </a:lnTo>
                                <a:lnTo>
                                  <a:pt x="328" y="655"/>
                                </a:lnTo>
                                <a:lnTo>
                                  <a:pt x="339" y="655"/>
                                </a:lnTo>
                                <a:lnTo>
                                  <a:pt x="344" y="662"/>
                                </a:lnTo>
                                <a:lnTo>
                                  <a:pt x="356" y="662"/>
                                </a:lnTo>
                                <a:lnTo>
                                  <a:pt x="378" y="669"/>
                                </a:lnTo>
                                <a:lnTo>
                                  <a:pt x="400" y="676"/>
                                </a:lnTo>
                                <a:lnTo>
                                  <a:pt x="433" y="696"/>
                                </a:lnTo>
                                <a:lnTo>
                                  <a:pt x="461" y="716"/>
                                </a:lnTo>
                                <a:lnTo>
                                  <a:pt x="494" y="743"/>
                                </a:lnTo>
                                <a:lnTo>
                                  <a:pt x="528" y="784"/>
                                </a:lnTo>
                                <a:lnTo>
                                  <a:pt x="539" y="777"/>
                                </a:lnTo>
                                <a:lnTo>
                                  <a:pt x="550" y="770"/>
                                </a:lnTo>
                                <a:lnTo>
                                  <a:pt x="567" y="763"/>
                                </a:lnTo>
                                <a:lnTo>
                                  <a:pt x="578" y="757"/>
                                </a:lnTo>
                                <a:lnTo>
                                  <a:pt x="589" y="750"/>
                                </a:lnTo>
                                <a:lnTo>
                                  <a:pt x="600" y="743"/>
                                </a:lnTo>
                                <a:lnTo>
                                  <a:pt x="617" y="736"/>
                                </a:lnTo>
                                <a:lnTo>
                                  <a:pt x="628" y="730"/>
                                </a:lnTo>
                                <a:lnTo>
                                  <a:pt x="656" y="716"/>
                                </a:lnTo>
                                <a:lnTo>
                                  <a:pt x="678" y="703"/>
                                </a:lnTo>
                                <a:lnTo>
                                  <a:pt x="706" y="682"/>
                                </a:lnTo>
                                <a:lnTo>
                                  <a:pt x="728" y="662"/>
                                </a:lnTo>
                                <a:lnTo>
                                  <a:pt x="745" y="642"/>
                                </a:lnTo>
                                <a:lnTo>
                                  <a:pt x="761" y="621"/>
                                </a:lnTo>
                                <a:lnTo>
                                  <a:pt x="772" y="594"/>
                                </a:lnTo>
                                <a:lnTo>
                                  <a:pt x="778" y="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>
                          <a:off x="2129" y="385"/>
                          <a:ext cx="5882" cy="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515" w:rsidRPr="00CF7CF0" w:rsidRDefault="00BD0515" w:rsidP="00BD0515">
                            <w:pPr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CF7CF0">
                              <w:rPr>
                                <w:b/>
                                <w:lang w:val="pl-PL"/>
                              </w:rPr>
                              <w:t>BANK SPÓŁDZIELCZY W PIEŃSKU</w:t>
                            </w:r>
                          </w:p>
                          <w:p w:rsidR="00BD0515" w:rsidRPr="00E735B2" w:rsidRDefault="00BD0515" w:rsidP="00BD05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7CF0">
                              <w:rPr>
                                <w:b/>
                                <w:lang w:val="pl-PL"/>
                              </w:rPr>
                              <w:t xml:space="preserve">59-930 Pieńsk, ul. </w:t>
                            </w:r>
                            <w:r w:rsidRPr="00E735B2">
                              <w:rPr>
                                <w:b/>
                              </w:rPr>
                              <w:t>Staszica 20</w:t>
                            </w:r>
                          </w:p>
                          <w:p w:rsidR="00BD0515" w:rsidRDefault="00BD0515" w:rsidP="00BD051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7E19D1" id="Grupa 2" o:spid="_x0000_s1029" style="position:absolute;left:0;text-align:left;margin-left:54.4pt;margin-top:12.1pt;width:339.55pt;height:50.1pt;z-index:251659264" coordorigin="790,385" coordsize="7221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">
              <v:group id="Group 28" o:spid="_x0000_s1030" style="position:absolute;left:790;top:412;width:1241;height:899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9" o:spid="_x0000_s1031" style="position:absolute;width:1334;height:1155;visibility:visible;mso-wrap-style:square;v-text-anchor:top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" path="m256,l1334,,1078,1155,,1155,256,xe" fillcolor="#00d929" stroked="f">
                  <v:path arrowok="t" o:connecttype="custom" o:connectlocs="256,0;1334,0;1078,1155;0,1155;256,0" o:connectangles="0,0,0,0,0"/>
                </v:shape>
                <v:shape id="Freeform 30" o:spid="_x0000_s1032" style="position:absolute;left:239;top:135;width:878;height:892;visibility:visible;mso-wrap-style:square;v-text-anchor:top" coordsize="878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" path="m778,574r,-324l772,203,761,176,739,149,717,128,689,115r-33,-7l617,108r-39,l561,108r-22,l522,115r-16,7l489,122r-17,6l456,135r-17,7l433,115r6,-7l461,95r17,-7l506,74r22,-6l544,61r17,-7l567,54,611,41r50,l706,41r44,13l789,68r33,27l833,108r17,14l856,142r11,20l867,176r5,13l872,196r,13l872,223r6,13l878,250r,14l878,567r-6,27l867,621r-6,28l845,669r-17,27l811,716r-22,20l772,750r-39,20l700,790r-28,7l645,811r-28,13l589,838r-33,27l522,892,500,858,478,831,456,811,433,797,406,784,383,770r-22,-7l339,757r-45,-7l244,743,189,730,139,716,89,689,44,662,28,642,17,615,5,588,,561,,196,,176,5,155r6,-13l17,122,28,101,44,88,61,68,89,47,111,34,139,20r33,-6l200,7r33,l261,7r33,l322,20r22,l367,27r27,l422,27r22,-7l472,20,494,7,511,r6,14l494,34,472,54,450,68r-22,6l400,81r-22,l344,81,317,74,289,68r-28,l233,61r-27,7l183,74r-22,7l144,95r-16,20l122,135r-5,14l111,169r,13l111,203r,20l106,243r,21l106,459r5,34l111,527r6,20l122,567r6,21l139,601r17,14l178,628r22,7l228,642r22,7l272,649r22,6l311,655r17,l339,655r5,7l356,662r22,7l400,676r33,20l461,716r33,27l528,784r11,-7l550,770r17,-7l578,757r11,-7l600,743r17,-7l628,730r28,-14l678,703r28,-21l728,662r17,-20l761,621r11,-27l778,574xe" stroked="f">
                  <v:path arrowok="t" o:connecttype="custom" o:connectlocs="772,203;717,128;617,108;539,108;489,122;439,142;461,95;528,68;567,54;706,41;822,95;856,142;872,189;872,223;878,264;867,621;828,696;772,750;672,797;589,838;522,892;456,811;383,770;294,750;139,716;28,642;0,561;5,155;28,101;89,47;172,14;261,7;344,20;422,27;494,7;517,14;472,54;400,81;317,74;233,61;161,81;122,135;111,182;106,243;111,493;122,567;156,615;228,642;294,655;339,655;378,669;461,716;528,784;567,763;600,743;656,716;728,662;772,594" o:connectangles="0,0,0,0,0,0,0,0,0,0,0,0,0,0,0,0,0,0,0,0,0,0,0,0,0,0,0,0,0,0,0,0,0,0,0,0,0,0,0,0,0,0,0,0,0,0,0,0,0,0,0,0,0,0,0,0,0,0"/>
                </v:shape>
              </v:group>
              <v:rect id="Rectangle 31" o:spid="_x0000_s1033" style="position:absolute;left:2129;top:385;width:5882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<v:textbox>
                  <w:txbxContent>
                    <w:p w:rsidR="00BD0515" w:rsidRPr="00CF7CF0" w:rsidRDefault="00BD0515" w:rsidP="00BD0515">
                      <w:pPr>
                        <w:jc w:val="center"/>
                        <w:rPr>
                          <w:b/>
                          <w:lang w:val="pl-PL"/>
                        </w:rPr>
                      </w:pPr>
                      <w:r w:rsidRPr="00CF7CF0">
                        <w:rPr>
                          <w:b/>
                          <w:lang w:val="pl-PL"/>
                        </w:rPr>
                        <w:t>BANK SPÓŁDZIELCZY W PIEŃSKU</w:t>
                      </w:r>
                    </w:p>
                    <w:p w:rsidR="00BD0515" w:rsidRPr="00E735B2" w:rsidRDefault="00BD0515" w:rsidP="00BD0515">
                      <w:pPr>
                        <w:jc w:val="center"/>
                        <w:rPr>
                          <w:b/>
                        </w:rPr>
                      </w:pPr>
                      <w:r w:rsidRPr="00CF7CF0">
                        <w:rPr>
                          <w:b/>
                          <w:lang w:val="pl-PL"/>
                        </w:rPr>
                        <w:t xml:space="preserve">59-930 Pieńsk, ul. </w:t>
                      </w:r>
                      <w:r w:rsidRPr="00E735B2">
                        <w:rPr>
                          <w:b/>
                        </w:rPr>
                        <w:t>Staszica 20</w:t>
                      </w:r>
                    </w:p>
                    <w:p w:rsidR="00BD0515" w:rsidRDefault="00BD0515" w:rsidP="00BD051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D1C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3C1197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A37E5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061A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31884"/>
    <w:multiLevelType w:val="hybridMultilevel"/>
    <w:tmpl w:val="8C78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A339A"/>
    <w:multiLevelType w:val="hybridMultilevel"/>
    <w:tmpl w:val="774061FC"/>
    <w:lvl w:ilvl="0" w:tplc="9696773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color w:val="008364"/>
        <w:sz w:val="22"/>
        <w:szCs w:val="22"/>
      </w:rPr>
    </w:lvl>
    <w:lvl w:ilvl="1" w:tplc="79E6DCA0">
      <w:start w:val="1"/>
      <w:numFmt w:val="decimal"/>
      <w:lvlText w:val="%2)"/>
      <w:lvlJc w:val="left"/>
      <w:pPr>
        <w:ind w:left="1770" w:hanging="690"/>
      </w:pPr>
      <w:rPr>
        <w:rFonts w:hint="default"/>
        <w:b/>
        <w:color w:val="008364"/>
      </w:rPr>
    </w:lvl>
    <w:lvl w:ilvl="2" w:tplc="712C3D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7187F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41041"/>
    <w:multiLevelType w:val="hybridMultilevel"/>
    <w:tmpl w:val="9B6C13A4"/>
    <w:lvl w:ilvl="0" w:tplc="7736E57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A2C91"/>
    <w:multiLevelType w:val="hybridMultilevel"/>
    <w:tmpl w:val="31365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C870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/>
        <w:color w:val="008364"/>
      </w:rPr>
    </w:lvl>
    <w:lvl w:ilvl="2" w:tplc="9C224DE8">
      <w:start w:val="1"/>
      <w:numFmt w:val="lowerLetter"/>
      <w:lvlText w:val="%3)"/>
      <w:lvlJc w:val="left"/>
      <w:pPr>
        <w:ind w:left="2024" w:hanging="180"/>
      </w:pPr>
      <w:rPr>
        <w:b/>
        <w:color w:val="00836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A1B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555CB6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806CBB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974214"/>
    <w:multiLevelType w:val="hybridMultilevel"/>
    <w:tmpl w:val="8414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A5D56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9E7803"/>
    <w:multiLevelType w:val="hybridMultilevel"/>
    <w:tmpl w:val="9EA21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C2551"/>
    <w:multiLevelType w:val="hybridMultilevel"/>
    <w:tmpl w:val="55725F2E"/>
    <w:lvl w:ilvl="0" w:tplc="4A60D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07820"/>
    <w:multiLevelType w:val="hybridMultilevel"/>
    <w:tmpl w:val="9416B6F4"/>
    <w:lvl w:ilvl="0" w:tplc="3DCE5B2A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163C10"/>
    <w:multiLevelType w:val="hybridMultilevel"/>
    <w:tmpl w:val="1200F90A"/>
    <w:lvl w:ilvl="0" w:tplc="C08A25C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641100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D22FC2"/>
    <w:multiLevelType w:val="hybridMultilevel"/>
    <w:tmpl w:val="11CE550A"/>
    <w:lvl w:ilvl="0" w:tplc="98FA4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F54254"/>
    <w:multiLevelType w:val="hybridMultilevel"/>
    <w:tmpl w:val="98F478AE"/>
    <w:lvl w:ilvl="0" w:tplc="2B2EDF7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E247409"/>
    <w:multiLevelType w:val="hybridMultilevel"/>
    <w:tmpl w:val="63BA5E4E"/>
    <w:lvl w:ilvl="0" w:tplc="744E7218">
      <w:start w:val="1"/>
      <w:numFmt w:val="decimal"/>
      <w:lvlText w:val="%1)"/>
      <w:lvlJc w:val="left"/>
      <w:pPr>
        <w:ind w:left="144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0"/>
  </w:num>
  <w:num w:numId="5">
    <w:abstractNumId w:val="14"/>
  </w:num>
  <w:num w:numId="6">
    <w:abstractNumId w:val="4"/>
  </w:num>
  <w:num w:numId="7">
    <w:abstractNumId w:val="12"/>
  </w:num>
  <w:num w:numId="8">
    <w:abstractNumId w:val="8"/>
  </w:num>
  <w:num w:numId="9">
    <w:abstractNumId w:val="18"/>
  </w:num>
  <w:num w:numId="10">
    <w:abstractNumId w:val="21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16"/>
  </w:num>
  <w:num w:numId="16">
    <w:abstractNumId w:val="6"/>
  </w:num>
  <w:num w:numId="17">
    <w:abstractNumId w:val="20"/>
  </w:num>
  <w:num w:numId="18">
    <w:abstractNumId w:val="10"/>
  </w:num>
  <w:num w:numId="19">
    <w:abstractNumId w:val="3"/>
  </w:num>
  <w:num w:numId="20">
    <w:abstractNumId w:val="17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0C"/>
    <w:rsid w:val="00004D8E"/>
    <w:rsid w:val="00013F38"/>
    <w:rsid w:val="00023CD5"/>
    <w:rsid w:val="000C7B3A"/>
    <w:rsid w:val="00111ADA"/>
    <w:rsid w:val="001226B3"/>
    <w:rsid w:val="00125CF9"/>
    <w:rsid w:val="00181EE0"/>
    <w:rsid w:val="00221EF6"/>
    <w:rsid w:val="002342DD"/>
    <w:rsid w:val="002441B6"/>
    <w:rsid w:val="00271ED2"/>
    <w:rsid w:val="002761B9"/>
    <w:rsid w:val="0029501B"/>
    <w:rsid w:val="0030396F"/>
    <w:rsid w:val="00336847"/>
    <w:rsid w:val="003A4B28"/>
    <w:rsid w:val="003B6CCE"/>
    <w:rsid w:val="00416DCE"/>
    <w:rsid w:val="00420989"/>
    <w:rsid w:val="00443EF6"/>
    <w:rsid w:val="004B3F35"/>
    <w:rsid w:val="004F311A"/>
    <w:rsid w:val="00502934"/>
    <w:rsid w:val="00510665"/>
    <w:rsid w:val="00510D78"/>
    <w:rsid w:val="00536FE8"/>
    <w:rsid w:val="0055040F"/>
    <w:rsid w:val="00585D92"/>
    <w:rsid w:val="00594384"/>
    <w:rsid w:val="005A4213"/>
    <w:rsid w:val="005B4030"/>
    <w:rsid w:val="005E4E4C"/>
    <w:rsid w:val="00607972"/>
    <w:rsid w:val="00625036"/>
    <w:rsid w:val="00663C41"/>
    <w:rsid w:val="0067569F"/>
    <w:rsid w:val="006A1451"/>
    <w:rsid w:val="006D4B4C"/>
    <w:rsid w:val="006F7FB1"/>
    <w:rsid w:val="007543F8"/>
    <w:rsid w:val="00766016"/>
    <w:rsid w:val="0078186C"/>
    <w:rsid w:val="007839EE"/>
    <w:rsid w:val="007867C6"/>
    <w:rsid w:val="007A3EF3"/>
    <w:rsid w:val="007A690C"/>
    <w:rsid w:val="007D1975"/>
    <w:rsid w:val="00826130"/>
    <w:rsid w:val="0083057B"/>
    <w:rsid w:val="00832585"/>
    <w:rsid w:val="00883FBB"/>
    <w:rsid w:val="008F3226"/>
    <w:rsid w:val="00945E78"/>
    <w:rsid w:val="00963989"/>
    <w:rsid w:val="00972FD6"/>
    <w:rsid w:val="00994083"/>
    <w:rsid w:val="00A06480"/>
    <w:rsid w:val="00A824AC"/>
    <w:rsid w:val="00A94040"/>
    <w:rsid w:val="00AA3448"/>
    <w:rsid w:val="00B07F19"/>
    <w:rsid w:val="00B234EA"/>
    <w:rsid w:val="00B33097"/>
    <w:rsid w:val="00B34019"/>
    <w:rsid w:val="00B42F93"/>
    <w:rsid w:val="00B67057"/>
    <w:rsid w:val="00B749DC"/>
    <w:rsid w:val="00B83DAD"/>
    <w:rsid w:val="00BA668C"/>
    <w:rsid w:val="00BD0515"/>
    <w:rsid w:val="00BD6E99"/>
    <w:rsid w:val="00C102F4"/>
    <w:rsid w:val="00C44C9A"/>
    <w:rsid w:val="00C8551D"/>
    <w:rsid w:val="00C93D77"/>
    <w:rsid w:val="00C94EEB"/>
    <w:rsid w:val="00CD21A0"/>
    <w:rsid w:val="00CE6891"/>
    <w:rsid w:val="00CF7CF0"/>
    <w:rsid w:val="00D35B9C"/>
    <w:rsid w:val="00DC22D4"/>
    <w:rsid w:val="00DD3880"/>
    <w:rsid w:val="00DD41F6"/>
    <w:rsid w:val="00DE1CBA"/>
    <w:rsid w:val="00E46DA0"/>
    <w:rsid w:val="00E773F2"/>
    <w:rsid w:val="00E84156"/>
    <w:rsid w:val="00E905A6"/>
    <w:rsid w:val="00E948A5"/>
    <w:rsid w:val="00EE7DC7"/>
    <w:rsid w:val="00F068F9"/>
    <w:rsid w:val="00F0690C"/>
    <w:rsid w:val="00F10B6A"/>
    <w:rsid w:val="00F36F4A"/>
    <w:rsid w:val="00F52B4D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0C"/>
    <w:pPr>
      <w:spacing w:before="120" w:after="0" w:line="240" w:lineRule="auto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93D7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3D77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585D9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F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FE8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C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CD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D5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C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D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0C"/>
    <w:pPr>
      <w:spacing w:before="120" w:after="0" w:line="240" w:lineRule="auto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93D7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93D7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3D77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585D9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F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FE8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C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CD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D5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C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87EC-389E-42F9-8EA0-E07A381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2232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Chodak</dc:creator>
  <cp:lastModifiedBy>BS</cp:lastModifiedBy>
  <cp:revision>3</cp:revision>
  <cp:lastPrinted>2018-07-27T12:00:00Z</cp:lastPrinted>
  <dcterms:created xsi:type="dcterms:W3CDTF">2018-07-10T09:20:00Z</dcterms:created>
  <dcterms:modified xsi:type="dcterms:W3CDTF">2018-08-03T09:34:00Z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2017-07-28T11:45:38.1944053+02:00</vt:lpwstr>
  </property>
</Properties>
</file>