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40" w:rsidRDefault="00CE7040" w:rsidP="007A690C">
      <w:pPr>
        <w:keepNext/>
        <w:rPr>
          <w:b/>
          <w:bCs/>
          <w:color w:val="008364"/>
          <w:lang w:val="pl-PL" w:bidi="pl-PL"/>
        </w:rPr>
      </w:pPr>
    </w:p>
    <w:p w:rsidR="00C93D77" w:rsidRDefault="00C93D77" w:rsidP="007A690C">
      <w:pPr>
        <w:keepNext/>
        <w:rPr>
          <w:b/>
          <w:bCs/>
          <w:color w:val="008364"/>
          <w:lang w:val="pl-PL" w:bidi="pl-PL"/>
        </w:rPr>
      </w:pPr>
      <w:bookmarkStart w:id="0" w:name="_GoBack"/>
      <w:bookmarkEnd w:id="0"/>
      <w:r w:rsidRPr="00C93D77">
        <w:rPr>
          <w:b/>
          <w:bCs/>
          <w:color w:val="008364"/>
          <w:lang w:val="pl-PL" w:bidi="pl-PL"/>
        </w:rPr>
        <w:t>OGÓLNE INFORMACJE DOTY</w:t>
      </w:r>
      <w:r w:rsidR="00BF3C0A">
        <w:rPr>
          <w:b/>
          <w:bCs/>
          <w:color w:val="008364"/>
          <w:lang w:val="pl-PL" w:bidi="pl-PL"/>
        </w:rPr>
        <w:t xml:space="preserve">CZĄCE UMOWY KREDYTU </w:t>
      </w:r>
      <w:r w:rsidR="003916B3">
        <w:rPr>
          <w:b/>
          <w:bCs/>
          <w:color w:val="008364"/>
          <w:lang w:val="pl-PL" w:bidi="pl-PL"/>
        </w:rPr>
        <w:t xml:space="preserve">HIPOTECZNEGO </w:t>
      </w:r>
      <w:r w:rsidR="009F73B3">
        <w:rPr>
          <w:b/>
          <w:bCs/>
          <w:color w:val="008364"/>
          <w:lang w:val="pl-PL" w:bidi="pl-PL"/>
        </w:rPr>
        <w:t>„</w:t>
      </w:r>
      <w:r w:rsidR="00BF3C0A">
        <w:rPr>
          <w:b/>
          <w:bCs/>
          <w:color w:val="008364"/>
          <w:lang w:val="pl-PL" w:bidi="pl-PL"/>
        </w:rPr>
        <w:t>MÓJ DOM</w:t>
      </w:r>
      <w:r w:rsidR="009F73B3">
        <w:rPr>
          <w:b/>
          <w:bCs/>
          <w:color w:val="008364"/>
          <w:lang w:val="pl-PL" w:bidi="pl-PL"/>
        </w:rPr>
        <w:t>”</w:t>
      </w:r>
    </w:p>
    <w:p w:rsidR="007A690C" w:rsidRDefault="00B07F19" w:rsidP="007A690C">
      <w:pPr>
        <w:pStyle w:val="Akapitzlist"/>
        <w:keepNext/>
        <w:numPr>
          <w:ilvl w:val="0"/>
          <w:numId w:val="1"/>
        </w:numPr>
        <w:rPr>
          <w:lang w:val="pl-PL"/>
        </w:rPr>
      </w:pPr>
      <w:r>
        <w:rPr>
          <w:b/>
          <w:lang w:val="pl-PL" w:bidi="pl-PL"/>
        </w:rPr>
        <w:t>Firma (nazwa), siedziba</w:t>
      </w:r>
      <w:r w:rsidR="007A690C" w:rsidRPr="007A690C">
        <w:rPr>
          <w:lang w:val="pl-PL" w:bidi="pl-PL"/>
        </w:rPr>
        <w:t xml:space="preserve"> (miejsce zamieszkania) i adres podmiotu publikującego informację</w:t>
      </w:r>
      <w:r w:rsidR="00F36F4A">
        <w:rPr>
          <w:lang w:val="pl-PL" w:bidi="pl-PL"/>
        </w:rPr>
        <w:t>;</w:t>
      </w:r>
    </w:p>
    <w:p w:rsidR="00585D92" w:rsidRPr="00B07F19" w:rsidRDefault="00585D92" w:rsidP="00585D92">
      <w:pPr>
        <w:pStyle w:val="Akapitzlist"/>
        <w:keepNext/>
        <w:ind w:left="786"/>
        <w:rPr>
          <w:i/>
          <w:lang w:val="pl-PL"/>
        </w:rPr>
      </w:pPr>
    </w:p>
    <w:p w:rsidR="00585D92" w:rsidRPr="00B07F19" w:rsidRDefault="004B7543" w:rsidP="00585D92">
      <w:pPr>
        <w:pStyle w:val="Akapitzlist"/>
        <w:keepNext/>
        <w:rPr>
          <w:b/>
          <w:i/>
          <w:lang w:val="pl-PL" w:bidi="pl-PL"/>
        </w:rPr>
      </w:pPr>
      <w:r>
        <w:rPr>
          <w:b/>
          <w:i/>
          <w:lang w:val="pl-PL" w:bidi="pl-PL"/>
        </w:rPr>
        <w:t>Bank Spółdzielczy w Pieńsku</w:t>
      </w:r>
    </w:p>
    <w:p w:rsidR="00585D92" w:rsidRPr="00B07F19" w:rsidRDefault="004B7543" w:rsidP="00585D92">
      <w:pPr>
        <w:pStyle w:val="Akapitzlist"/>
        <w:keepNext/>
        <w:rPr>
          <w:b/>
          <w:i/>
          <w:lang w:val="pl-PL" w:bidi="pl-PL"/>
        </w:rPr>
      </w:pPr>
      <w:r>
        <w:rPr>
          <w:b/>
          <w:i/>
          <w:lang w:val="pl-PL" w:bidi="pl-PL"/>
        </w:rPr>
        <w:t>Ul. Staszica 20</w:t>
      </w:r>
    </w:p>
    <w:p w:rsidR="00585D92" w:rsidRPr="00B07F19" w:rsidRDefault="004B7543" w:rsidP="00585D92">
      <w:pPr>
        <w:pStyle w:val="Akapitzlist"/>
        <w:keepNext/>
        <w:rPr>
          <w:b/>
          <w:i/>
          <w:lang w:val="pl-PL" w:bidi="pl-PL"/>
        </w:rPr>
      </w:pPr>
      <w:r>
        <w:rPr>
          <w:b/>
          <w:i/>
          <w:lang w:val="pl-PL" w:bidi="pl-PL"/>
        </w:rPr>
        <w:t>59-930 Pieńsk</w:t>
      </w:r>
    </w:p>
    <w:p w:rsidR="00295EFB" w:rsidRPr="00295EFB" w:rsidRDefault="00295EFB" w:rsidP="00295EFB">
      <w:pPr>
        <w:keepNext/>
        <w:numPr>
          <w:ilvl w:val="0"/>
          <w:numId w:val="21"/>
        </w:numPr>
        <w:spacing w:before="0"/>
        <w:contextualSpacing/>
        <w:rPr>
          <w:rFonts w:ascii="Calibri" w:eastAsia="Calibri" w:hAnsi="Calibri" w:cs="Times New Roman"/>
          <w:b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Cele, na które kredyt hipoteczny może zostać wykorzystany na: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zakup działki budowlanej;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zakup lokalu mieszkalnego lub domu jednorodzinnego;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nabycie spółdzielczego własnościowego prawa do lokalu mieszkalnego;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nabycie własnościowego prawa do domu jednorodzinnego (wybudowanego) w spółdzielni mieszkaniowej;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przekształcenie lokatorskiego spółdzielczego prawa do lokalu mieszkalnego lub spółdzielczego własnościowego prawa do lokalu mieszkalnego w prawo odrębnej własności;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wykup mieszkania komunalnego lub zakładowego;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spłatę zadłużenia z tytułu innego kredytu mieszkaniowego z innego banku, pod warunkiem, iż kredyt udzielony był na cele zgodne z postanowieniami Instrukcji;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inwestycje mieszkaniowe realizowane przez Kredytobiorcę sposobem gospodarczym:</w:t>
      </w:r>
    </w:p>
    <w:p w:rsidR="00295EFB" w:rsidRPr="00295EFB" w:rsidRDefault="00295EFB" w:rsidP="00295EFB">
      <w:pPr>
        <w:keepNext/>
        <w:numPr>
          <w:ilvl w:val="2"/>
          <w:numId w:val="22"/>
        </w:numPr>
        <w:spacing w:before="0"/>
        <w:ind w:hanging="459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budowa, dokończenie budowy, rozbudowa, przebudowa, wykończenie domu jednorodzinnego,</w:t>
      </w:r>
    </w:p>
    <w:p w:rsidR="00295EFB" w:rsidRPr="00295EFB" w:rsidRDefault="00295EFB" w:rsidP="00295EFB">
      <w:pPr>
        <w:keepNext/>
        <w:numPr>
          <w:ilvl w:val="2"/>
          <w:numId w:val="22"/>
        </w:numPr>
        <w:spacing w:before="0"/>
        <w:ind w:hanging="459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generalny remont i modernizacja domu jednorodzinnego lub lokalu mieszkalnego, z wyjątkiem bieżących konserwacji i remontów,</w:t>
      </w:r>
    </w:p>
    <w:p w:rsidR="00295EFB" w:rsidRPr="00295EFB" w:rsidRDefault="00295EFB" w:rsidP="00295EFB">
      <w:pPr>
        <w:keepNext/>
        <w:numPr>
          <w:ilvl w:val="2"/>
          <w:numId w:val="22"/>
        </w:numPr>
        <w:spacing w:before="0"/>
        <w:ind w:hanging="459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zakup działki gruntu z rozpoczętą budową;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wykończenie mieszkania zakupionego na rynku pierwotnym będącego elementem transakcji finansowanej w ramach kredytu Mój Dom 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remont mieszkania zakupionego na rynku wtórnym będącego elementem transakcji finansowanej w ramach kredytu Mój Dom;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inwestycje mieszkaniowe realizowane dla Kredytobiorcy przez inwestora zastępczego:</w:t>
      </w:r>
    </w:p>
    <w:p w:rsidR="00295EFB" w:rsidRPr="00295EFB" w:rsidRDefault="00295EFB" w:rsidP="00295EFB">
      <w:pPr>
        <w:keepNext/>
        <w:numPr>
          <w:ilvl w:val="2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budowa, dokończenie budowy, rozbudowa, przebudowa, wykończenie domu jednorodzinnego lub lokalu mieszkalnego,</w:t>
      </w:r>
    </w:p>
    <w:p w:rsidR="00295EFB" w:rsidRPr="00295EFB" w:rsidRDefault="00295EFB" w:rsidP="00295EFB">
      <w:pPr>
        <w:keepNext/>
        <w:numPr>
          <w:ilvl w:val="2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generalny remont i modernizacja domu jednorodzinnego lub lokalu mieszkalnego, z wyjątkiem bieżących konserwacji i remontów;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zakup domu, budowę i dokończenie budowy domu w którym dopuszcza się wydzielenie nie więcej niż dwóch lokali mieszkalnych albo jednego lokalu mieszkalnego i lokalu użytkowego o powierzchni całkowitej nieprzekraczającej 30% powierzchni całkowitej budynku (inwestycje mieszkaniowe realizowane przez inwestora zastępczego jak również sposobem gospodarczym przez Kredytobiorcę, w tym również lokali niemieszkalnych lub budynków niemieszkalnych funkcjonalnie związanych z realizowaną inwestycją mieszkaniową). Bank dopuszcza możliwość kredytowania inwestycji mieszkaniowych, także w przypadku, gdy powierzchnia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niemieszkalna nie stanowi więcej niż 50% powierzchni całkowitej realizowanej inwestycji;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zakup pomieszczenia przynależnego, miejsca parkingowego lub garażu będącego elementem transakcji finansowanej w ramach kredytu Mój Dom 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refinansowanie kosztów poniesionych na cele mieszkaniowe (wymienione powyżej);</w:t>
      </w:r>
    </w:p>
    <w:p w:rsidR="00295EFB" w:rsidRPr="00295EFB" w:rsidRDefault="00295EFB" w:rsidP="00295EFB">
      <w:pPr>
        <w:keepNext/>
        <w:numPr>
          <w:ilvl w:val="1"/>
          <w:numId w:val="2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dowolny cel konsumpcyjny, o ile nie stanowi więcej niż  15% kwoty udzielanego kredytu.</w:t>
      </w:r>
    </w:p>
    <w:p w:rsidR="00295EFB" w:rsidRPr="00295EFB" w:rsidRDefault="00295EFB" w:rsidP="00295EFB">
      <w:pPr>
        <w:keepNext/>
        <w:spacing w:before="0"/>
        <w:ind w:left="144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spacing w:before="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Formy zabezpieczenia, w tym wskazanie możliwości, że przedmiot zabezpieczenia może znajdować się w innym niż Rzeczpospolita Polska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państwie członkowskim, o ile taka możliwość jest przewidziana: </w:t>
      </w: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tabs>
          <w:tab w:val="left" w:pos="2010"/>
        </w:tabs>
        <w:spacing w:before="0"/>
        <w:ind w:left="720"/>
        <w:contextualSpacing/>
        <w:rPr>
          <w:rFonts w:ascii="Calibri" w:eastAsia="Calibri" w:hAnsi="Calibri" w:cs="Times New Roman"/>
          <w:b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b/>
          <w:i/>
          <w:color w:val="008364"/>
          <w:sz w:val="20"/>
          <w:szCs w:val="20"/>
          <w:lang w:val="pl-PL" w:bidi="pl-PL"/>
        </w:rPr>
        <w:t>Prawne zabezpieczenie spłaty kredytu:</w:t>
      </w:r>
      <w:r w:rsidRPr="00295EFB">
        <w:rPr>
          <w:rFonts w:ascii="Calibri" w:eastAsia="Calibri" w:hAnsi="Calibri" w:cs="Times New Roman"/>
          <w:b/>
          <w:i/>
          <w:color w:val="008364"/>
          <w:sz w:val="20"/>
          <w:szCs w:val="20"/>
          <w:lang w:val="pl-PL" w:bidi="pl-PL"/>
        </w:rPr>
        <w:tab/>
      </w:r>
      <w:r w:rsidRPr="00295EFB">
        <w:rPr>
          <w:rFonts w:ascii="Calibri" w:eastAsia="Calibri" w:hAnsi="Calibri" w:cs="Times New Roman"/>
          <w:b/>
          <w:i/>
          <w:sz w:val="20"/>
          <w:szCs w:val="20"/>
          <w:lang w:val="pl-PL" w:bidi="pl-PL"/>
        </w:rPr>
        <w:tab/>
      </w:r>
    </w:p>
    <w:p w:rsidR="00295EFB" w:rsidRPr="00295EFB" w:rsidRDefault="00295EFB" w:rsidP="00295EFB">
      <w:pPr>
        <w:keepNext/>
        <w:numPr>
          <w:ilvl w:val="0"/>
          <w:numId w:val="23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weksel in blanco Kredytobiorcy wystawiony na rzecz Banku wraz z deklaracją wekslową;</w:t>
      </w:r>
    </w:p>
    <w:p w:rsidR="00295EFB" w:rsidRPr="00295EFB" w:rsidRDefault="00295EFB" w:rsidP="00295EFB">
      <w:pPr>
        <w:keepNext/>
        <w:numPr>
          <w:ilvl w:val="0"/>
          <w:numId w:val="23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hipoteka ustanawiana na rzecz Banku w księdze wieczystej prowadzonej dla nieruchomości, stanowiącej przedmiot zabezpieczenia spłaty kredytu. Przedmiot zabezpieczenia spłaty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lastRenderedPageBreak/>
        <w:t>kredytu musi stanowić nieruchomość, na zakup lub zabudowę, której Bank udziela kredytu położonej na terenie Rzeczypospolitej Polskiej;</w:t>
      </w:r>
    </w:p>
    <w:p w:rsidR="00295EFB" w:rsidRPr="00295EFB" w:rsidRDefault="00295EFB" w:rsidP="00295EFB">
      <w:pPr>
        <w:keepNext/>
        <w:numPr>
          <w:ilvl w:val="0"/>
          <w:numId w:val="23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cesja praw na rzecz Banku z umowy  ubezpieczenia nieruchomości ZU z oferty dostępnej Banku lub spoza oferty Banku stanowiącej przedmiot zabezpieczenia od ognia i innych zdarzeń losowych;</w:t>
      </w:r>
    </w:p>
    <w:p w:rsidR="00295EFB" w:rsidRPr="00295EFB" w:rsidRDefault="00295EFB" w:rsidP="00295EFB">
      <w:pPr>
        <w:keepNext/>
        <w:numPr>
          <w:ilvl w:val="0"/>
          <w:numId w:val="23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wskazanie Banku jako głównego uposażonego do otrzymania świadczenia z polisy ubezpieczenia na życie Kredytobiorcy z ZU z oferty dostępnej w Banku lub spoza oferty Banku, do wysokości zadłużenia wynikającego z zwartej Umowy kredytu,</w:t>
      </w:r>
    </w:p>
    <w:p w:rsidR="00295EFB" w:rsidRPr="00295EFB" w:rsidRDefault="00295EFB" w:rsidP="00295EFB">
      <w:pPr>
        <w:keepNext/>
        <w:numPr>
          <w:ilvl w:val="0"/>
          <w:numId w:val="23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cesja wierzytelności na rzecz Banku z umowy zobowiązującej do ustanowienia przeniesienia własności lokalu mieszkalnego/domu jednorodzinnego* w przypadku kredytowania niezakończonej inwestycji, której rozpoczęcie nastąpiło przed 28 kwietnia 2012r.;</w:t>
      </w:r>
    </w:p>
    <w:p w:rsidR="00295EFB" w:rsidRPr="00295EFB" w:rsidRDefault="00295EFB" w:rsidP="00295EFB">
      <w:pPr>
        <w:keepNext/>
        <w:numPr>
          <w:ilvl w:val="0"/>
          <w:numId w:val="23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cesja wierzytelności z umowy deweloperskiej (w przypadku kredytowania niezakończonej inwestycji, której rozpoczęcie nastąpiło po 28 kwietnia 2012r.)</w:t>
      </w:r>
    </w:p>
    <w:p w:rsidR="00295EFB" w:rsidRPr="00295EFB" w:rsidRDefault="00295EFB" w:rsidP="00295EFB">
      <w:pPr>
        <w:keepNext/>
        <w:numPr>
          <w:ilvl w:val="0"/>
          <w:numId w:val="23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cesja z rachunku powierniczego prowadzonego dla inwestycji,  co do której rozpoczęcie sprzedaży nastąpiło po 28 kwietnia 2012 r.; </w:t>
      </w:r>
    </w:p>
    <w:p w:rsidR="00295EFB" w:rsidRPr="00295EFB" w:rsidRDefault="00295EFB" w:rsidP="00295EFB">
      <w:pPr>
        <w:keepNext/>
        <w:numPr>
          <w:ilvl w:val="0"/>
          <w:numId w:val="23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cesja praw z gwarancji bankowej lub gwarancji ubezpieczeniowej w przypadku, gdy inwestor zastępczy zapewnił Kredytobiorcy jedną z tych gwarancji; </w:t>
      </w:r>
    </w:p>
    <w:p w:rsidR="00295EFB" w:rsidRPr="00295EFB" w:rsidRDefault="00295EFB" w:rsidP="00295EFB">
      <w:pPr>
        <w:keepNext/>
        <w:numPr>
          <w:ilvl w:val="0"/>
          <w:numId w:val="23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pełnomocnictwo do rachunku oszczędnościowo-rozliczeniowego prowadzonego przez Bank dla Kredytobiorcy, o ile Kredytobiorca wskaże we  wniosku o kredyt, że spłata kredytu oraz pobieranie opłat i prowizji związanych z postanowieniami umowy kredytowej będzie odbywać się z w/w rachunku.</w:t>
      </w:r>
    </w:p>
    <w:p w:rsidR="00295EFB" w:rsidRPr="00295EFB" w:rsidRDefault="00295EFB" w:rsidP="00295EFB">
      <w:pPr>
        <w:keepNext/>
        <w:tabs>
          <w:tab w:val="left" w:pos="2010"/>
        </w:tabs>
        <w:spacing w:before="0"/>
        <w:ind w:left="144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ab/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ab/>
      </w:r>
    </w:p>
    <w:p w:rsidR="00295EFB" w:rsidRPr="00295EFB" w:rsidRDefault="00295EFB" w:rsidP="00295EFB">
      <w:pPr>
        <w:keepNext/>
        <w:tabs>
          <w:tab w:val="left" w:pos="2010"/>
        </w:tabs>
        <w:spacing w:before="0"/>
        <w:ind w:left="720"/>
        <w:contextualSpacing/>
        <w:rPr>
          <w:rFonts w:ascii="Calibri" w:eastAsia="Calibri" w:hAnsi="Calibri" w:cs="Times New Roman"/>
          <w:b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b/>
          <w:i/>
          <w:color w:val="008364"/>
          <w:sz w:val="20"/>
          <w:szCs w:val="20"/>
          <w:lang w:val="pl-PL" w:bidi="pl-PL"/>
        </w:rPr>
        <w:t>Zabezpieczenie do czasu ustanowienia hipoteki ( do wyboru):</w:t>
      </w:r>
      <w:r w:rsidRPr="00295EFB">
        <w:rPr>
          <w:rFonts w:ascii="Calibri" w:eastAsia="Calibri" w:hAnsi="Calibri" w:cs="Times New Roman"/>
          <w:b/>
          <w:i/>
          <w:color w:val="008364"/>
          <w:sz w:val="20"/>
          <w:szCs w:val="20"/>
          <w:lang w:val="pl-PL" w:bidi="pl-PL"/>
        </w:rPr>
        <w:tab/>
      </w:r>
      <w:r w:rsidRPr="00295EFB">
        <w:rPr>
          <w:rFonts w:ascii="Calibri" w:eastAsia="Calibri" w:hAnsi="Calibri" w:cs="Times New Roman"/>
          <w:b/>
          <w:i/>
          <w:color w:val="008364"/>
          <w:sz w:val="20"/>
          <w:szCs w:val="20"/>
          <w:lang w:val="pl-PL" w:bidi="pl-PL"/>
        </w:rPr>
        <w:tab/>
      </w:r>
      <w:r w:rsidRPr="00295EFB">
        <w:rPr>
          <w:rFonts w:ascii="Calibri" w:eastAsia="Calibri" w:hAnsi="Calibri" w:cs="Times New Roman"/>
          <w:b/>
          <w:i/>
          <w:sz w:val="20"/>
          <w:szCs w:val="20"/>
          <w:lang w:val="pl-PL" w:bidi="pl-PL"/>
        </w:rPr>
        <w:tab/>
      </w:r>
    </w:p>
    <w:p w:rsidR="00295EFB" w:rsidRPr="00295EFB" w:rsidRDefault="00295EFB" w:rsidP="00295EFB">
      <w:pPr>
        <w:keepNext/>
        <w:numPr>
          <w:ilvl w:val="0"/>
          <w:numId w:val="24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poręcznie wekslowe</w:t>
      </w:r>
    </w:p>
    <w:p w:rsidR="00295EFB" w:rsidRPr="00295EFB" w:rsidRDefault="00295EFB" w:rsidP="00295EFB">
      <w:pPr>
        <w:keepNext/>
        <w:numPr>
          <w:ilvl w:val="0"/>
          <w:numId w:val="24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kaucja pieniężna</w:t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ab/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ab/>
      </w:r>
    </w:p>
    <w:p w:rsidR="00295EFB" w:rsidRPr="00295EFB" w:rsidRDefault="00295EFB" w:rsidP="00295EFB">
      <w:pPr>
        <w:keepNext/>
        <w:numPr>
          <w:ilvl w:val="0"/>
          <w:numId w:val="24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blokada środków pieniężnych na rachunku</w:t>
      </w:r>
    </w:p>
    <w:p w:rsidR="00295EFB" w:rsidRPr="00295EFB" w:rsidRDefault="00295EFB" w:rsidP="00295EFB">
      <w:pPr>
        <w:keepNext/>
        <w:numPr>
          <w:ilvl w:val="0"/>
          <w:numId w:val="24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podwyższenie marży kredytu</w:t>
      </w:r>
    </w:p>
    <w:p w:rsidR="00295EFB" w:rsidRPr="00295EFB" w:rsidRDefault="00295EFB" w:rsidP="00295EFB">
      <w:pPr>
        <w:keepNext/>
        <w:tabs>
          <w:tab w:val="left" w:pos="2010"/>
        </w:tabs>
        <w:spacing w:before="0"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Okres, na jaki </w:t>
      </w: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może być zawarta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umowa o kredyt hipoteczny;</w:t>
      </w:r>
    </w:p>
    <w:p w:rsidR="00295EFB" w:rsidRPr="00295EFB" w:rsidRDefault="00295EFB" w:rsidP="00295EFB">
      <w:pPr>
        <w:keepNext/>
        <w:tabs>
          <w:tab w:val="left" w:pos="1080"/>
        </w:tabs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tabs>
          <w:tab w:val="left" w:pos="108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Okres kredytowania wynosi :</w:t>
      </w:r>
    </w:p>
    <w:p w:rsidR="00295EFB" w:rsidRPr="00295EFB" w:rsidRDefault="00295EFB" w:rsidP="00295EFB">
      <w:pPr>
        <w:keepNext/>
        <w:numPr>
          <w:ilvl w:val="0"/>
          <w:numId w:val="25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od 1 roku do 15 lat – w przypadku, gdy celem kredytowania jest zakup działki budowlanej;</w:t>
      </w:r>
    </w:p>
    <w:p w:rsidR="00295EFB" w:rsidRPr="00295EFB" w:rsidRDefault="00295EFB" w:rsidP="00295EFB">
      <w:pPr>
        <w:keepNext/>
        <w:numPr>
          <w:ilvl w:val="0"/>
          <w:numId w:val="25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od 5 do 25 lat – w przypadku pozostałych celów kredytowania. Na wniosek Wnioskodawcy okres kredytowania może zostać wydłużony do maksymalnie 30 lat.</w:t>
      </w:r>
    </w:p>
    <w:p w:rsidR="00295EFB" w:rsidRPr="00295EFB" w:rsidRDefault="00295EFB" w:rsidP="00295EFB">
      <w:pPr>
        <w:keepNext/>
        <w:tabs>
          <w:tab w:val="left" w:pos="2010"/>
        </w:tabs>
        <w:spacing w:before="0"/>
        <w:ind w:left="144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tabs>
          <w:tab w:val="left" w:pos="1080"/>
        </w:tabs>
        <w:spacing w:before="0"/>
        <w:contextualSpacing/>
        <w:rPr>
          <w:rFonts w:ascii="Calibri" w:eastAsia="Calibri" w:hAnsi="Calibri" w:cs="Times New Roman"/>
          <w:b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W przypadku umów o kredyt hipoteczny, w których stosuje się jako odniesienie wskaźnik referencyjny - nazwy wskaźników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referencyjnych i ich administratorów, o których mowa 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br/>
        <w:t xml:space="preserve">w art. 3 ust. 1 pkt 6 rozporządzenia Parlamentu Europejskiego i Rady (UE) 2016/1011 z dnia 8 czerwca 2016 r. w sprawie indeksów stosowanych jako wskaźniki referencyjne w instrumentach finansowych i umowach finansowych lub do pomiaru wyników funduszy inwestycyjnych i zmieniającego dyrektywy 2008/48/WE i 2014/17/UE oraz rozporządzenie (UE) nr 596/2014, oraz informację o potencjalnych konsekwencjach dla konsumenta: </w:t>
      </w:r>
      <w:r w:rsidRPr="00295EFB">
        <w:rPr>
          <w:rFonts w:ascii="Calibri" w:eastAsia="Calibri" w:hAnsi="Calibri" w:cs="Times New Roman"/>
          <w:b/>
          <w:i/>
          <w:sz w:val="20"/>
          <w:szCs w:val="20"/>
          <w:lang w:val="pl-PL"/>
        </w:rPr>
        <w:t>nie dotyczy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spacing w:before="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Rodzaje dostępnej stopy oprocentowania kredytu hipotecznego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ze wskazaniem, czy jest to stała stopa oprocentowania kredytu hipotecznego, zmienna, </w:t>
      </w: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czy stanowiąca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połączenie obu rodzajów oprocentowania, wraz z krótką charakterystyką stałej stopy oprocentowania kredytu hipotecznego i stopy zmiennej, w tym informacją o związanych z tym konsekwencjach dla konsumenta:</w:t>
      </w:r>
    </w:p>
    <w:p w:rsidR="00295EFB" w:rsidRPr="00295EFB" w:rsidRDefault="00295EFB" w:rsidP="00295EFB">
      <w:pPr>
        <w:keepNext/>
        <w:spacing w:before="0"/>
        <w:ind w:left="788"/>
        <w:contextualSpacing/>
        <w:rPr>
          <w:rFonts w:ascii="Calibri" w:eastAsia="Calibri" w:hAnsi="Calibri" w:cs="Times New Roman"/>
          <w:b/>
          <w:i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spacing w:before="0"/>
        <w:ind w:left="788"/>
        <w:contextualSpacing/>
        <w:rPr>
          <w:rFonts w:ascii="Calibri" w:eastAsia="Calibri" w:hAnsi="Calibri" w:cs="Calibri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Kredyt oprocentowany jest według zmiennej stopy procentowej, stanowiącej sumę stopy referencyjnej i marży Banku.  Stopą referencyjną jest stawka WIBOR 3M, której wysokość określana </w:t>
      </w:r>
      <w:r w:rsidRPr="00295EFB">
        <w:rPr>
          <w:rFonts w:ascii="Calibri" w:eastAsia="Calibri" w:hAnsi="Calibri" w:cs="Calibri"/>
          <w:i/>
          <w:sz w:val="20"/>
          <w:szCs w:val="20"/>
          <w:lang w:val="pl-PL"/>
        </w:rPr>
        <w:t xml:space="preserve">jest  jako  średnia arytmetyczna z miesiąca poprzedzającego okres jej obowiązywania; Okresy 3-miesięczne, w których obowiązuje określona wysokość stopy procentowej, zgodne są z kwartałami kalendarzowymi; pierwszy okres obowiązywania ustalonej stopy oprocentowania rozpoczyna się z dniem uruchomienia kredytu, a kończy z ostatnim dniem kwartału kalendarzowego, w którym nastąpiło uruchomienie kredytu; ostatni okres obowiązywania ustalonej stopy oprocentowania rozpoczyna się z pierwszym dniem kwartału kalendarzowego, w którym przypada ostateczny termin spłaty kredytu, a kończy z dniem poprzedzającym ostateczny termin spłaty kredytu, wyznaczane datą zawarcia Umowy kredytu. </w:t>
      </w:r>
      <w:r w:rsidRPr="00295EFB">
        <w:rPr>
          <w:rFonts w:ascii="Calibri" w:eastAsia="Calibri" w:hAnsi="Calibri" w:cs="Calibri"/>
          <w:i/>
          <w:sz w:val="20"/>
          <w:szCs w:val="20"/>
          <w:lang w:val="pl-PL"/>
        </w:rPr>
        <w:lastRenderedPageBreak/>
        <w:t>Stopa oprocentowania kredytu zmienia się wraz ze zmianą stopy referencyjnej Banku Spółdzielczego w Pieńsku. Marżę</w:t>
      </w: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 Banku określa Tabela oprocentowania kredytów Banku Spółdzielczego w Pieńsku z zastrzeżeniem że Bank podwyższa marżę kredytu dodatkowo o 1,00 </w:t>
      </w:r>
      <w:proofErr w:type="spellStart"/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p.p</w:t>
      </w:r>
      <w:proofErr w:type="spellEnd"/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. :</w:t>
      </w:r>
    </w:p>
    <w:p w:rsidR="00295EFB" w:rsidRPr="00295EFB" w:rsidRDefault="00295EFB" w:rsidP="00295EFB">
      <w:pPr>
        <w:keepNext/>
        <w:numPr>
          <w:ilvl w:val="0"/>
          <w:numId w:val="26"/>
        </w:numPr>
        <w:tabs>
          <w:tab w:val="left" w:pos="2010"/>
        </w:tabs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w przypadku nieprzedstawienia zabezpieczenia przejściowego (podwyższa się marżę do dnia dokonania prawomocnego wpisu hipoteki na rzecz Banku), </w:t>
      </w: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Aktualna Tabela oprocentowania oraz informacje na temat wskaźników referencyjnych dostępne są dla Państwa na stronie internetowej Banku (</w:t>
      </w:r>
      <w:r w:rsidR="00017D64">
        <w:fldChar w:fldCharType="begin"/>
      </w:r>
      <w:r w:rsidR="00017D64" w:rsidRPr="00017D64">
        <w:rPr>
          <w:lang w:val="pl-PL"/>
        </w:rPr>
        <w:instrText xml:space="preserve"> HYPERLINK "http://www.bspiensk.pl" </w:instrText>
      </w:r>
      <w:r w:rsidR="00017D64">
        <w:fldChar w:fldCharType="separate"/>
      </w:r>
      <w:r w:rsidRPr="00295EFB">
        <w:rPr>
          <w:rFonts w:ascii="Calibri" w:eastAsia="Calibri" w:hAnsi="Calibri" w:cs="Times New Roman"/>
          <w:i/>
          <w:color w:val="0000FF" w:themeColor="hyperlink"/>
          <w:sz w:val="20"/>
          <w:szCs w:val="20"/>
          <w:u w:val="single"/>
          <w:lang w:val="pl-PL"/>
        </w:rPr>
        <w:t>www.bspiensk.pl</w:t>
      </w:r>
      <w:r w:rsidR="00017D64">
        <w:rPr>
          <w:rFonts w:ascii="Calibri" w:eastAsia="Calibri" w:hAnsi="Calibri" w:cs="Times New Roman"/>
          <w:i/>
          <w:color w:val="0000FF" w:themeColor="hyperlink"/>
          <w:sz w:val="20"/>
          <w:szCs w:val="20"/>
          <w:u w:val="single"/>
          <w:lang w:val="pl-PL"/>
        </w:rPr>
        <w:fldChar w:fldCharType="end"/>
      </w: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 ).</w:t>
      </w: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 </w:t>
      </w: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Kredytobiorca zaciągający kredyt hipoteczny narażony jest na ponoszenie określonych </w:t>
      </w:r>
      <w:proofErr w:type="spellStart"/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ryzyk</w:t>
      </w:r>
      <w:proofErr w:type="spellEnd"/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. </w:t>
      </w: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Każdy kredyt hipoteczny o zmiennym oprocentowaniu jest obciążony ryzykiem stopy procentowej oraz ryzykiem zmiany cen rynkowych nieruchomości.</w:t>
      </w: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Zmiany stopy procentowej będą powodować zmiany wysokości raty kredytu oprocentowanego według zmiennej stopy procentowej. Z tego względu, przy podejmowaniu decyzji, szczególnie dotyczących wieloletniego kredytu hipotecznego, Kredytobiorca powinien brać pod uwagę długoterminowy trend na rynku, a nie tylko krótkotrwałe wahania stopy procentowej. Przed zawarciem umowy Bank informuje Klientów o kosztach i ryzykach związanych z kredytem. Ryzyko podjęcia decyzji i jej konsekwencji spoczywa na Kredytobiorcy, pozostanie związany umową, zgodnie z którą przez kilka, kilkanaście albo kilkadziesiąt lat będzie spłacał raty kredytu</w:t>
      </w: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tabs>
          <w:tab w:val="left" w:pos="1710"/>
        </w:tabs>
        <w:spacing w:before="0"/>
        <w:contextualSpacing/>
        <w:rPr>
          <w:rFonts w:ascii="Calibri" w:eastAsia="Calibri" w:hAnsi="Calibri" w:cs="Times New Roman"/>
          <w:b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Reprezentatywny przykład całkowitej kwoty kredytu hipotecznego, całkowitego kosztu kredytu hipotecznego, całkowitej kwoty do zapłaty przez konsumenta oraz rzeczywistej rocznej stopy oprocentowania:</w:t>
      </w:r>
    </w:p>
    <w:p w:rsidR="00295EFB" w:rsidRPr="00295EFB" w:rsidRDefault="00295EFB" w:rsidP="00295EFB">
      <w:pPr>
        <w:keepNext/>
        <w:tabs>
          <w:tab w:val="left" w:pos="1710"/>
        </w:tabs>
        <w:spacing w:before="0"/>
        <w:ind w:left="786"/>
        <w:contextualSpacing/>
        <w:rPr>
          <w:rFonts w:ascii="Calibri" w:eastAsia="Calibri" w:hAnsi="Calibri" w:cs="Times New Roman"/>
          <w:b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jc w:val="left"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Rzeczywista Roczna Stopa Oprocentowania (RRSO) wynosi: 5,06 %  dla następujących założeń: całkowita kwota kredytu:  200.000 PLN, okres kredytowania: 300 miesięcy; wkład własny: 20% wartości nieruchomości;  oprocentowanie kredytu: 4,73 % w skali roku – wyliczone jako suma aktualnej stopy bazowej kredytu (stopa zmienna WIBOR 3M: 1.73 %) i marży Banku w wysokości 3%, obliczona po ustanowieniu zabezpieczenia w postaci hipoteki na kredytowanej nieruchomości (do czasu ustanowienia hipoteki Bank podwyższana marżę kredytu o 1,00 </w:t>
      </w:r>
      <w:proofErr w:type="spellStart"/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p.p</w:t>
      </w:r>
      <w:proofErr w:type="spellEnd"/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.)  Równa rata miesięczna:                1 138, 16 PLN, łączna liczba rat: 300.  Całkowity koszt kredytu 145 666,25 PLN, w tym: suma odsetek w całym okresie kredytowania: 141 447,25 PLN, prowizja nie kredytowana za udzielenie kredytu: 2,00 % kwoty udzielonego kredytu wynosząca: 4 000 PLN. Koszt ustanowienia hipoteki: 200,00 PLN, podatek od czynności cywilno-prawnych (PCC-1): 19,00 PLN.  W całkowitym koszcie kredytu Bank nie uwzględnia następujących kosztów: kosztu ubezpieczenia kredytowanej nieruchomości spoza oferty Banku oraz kosztu wyceny nieruchomości, gdyż nie jest dostawcą tych usług dodatkowych dla konsumenta. Całkowita kwota do zapłaty wynosi: 345 666,25 PLN. Oprocentowanie kredytu jest zmienne i w okresie obowiązywania umowy kredytu może ulec podwyższeniu w związku ze wzrostem stopy referencyjnej WIBOR 3M, co spowoduje podwyższenie kwoty spłacanej raty kredytu . </w:t>
      </w:r>
    </w:p>
    <w:p w:rsidR="00295EFB" w:rsidRPr="00295EFB" w:rsidRDefault="00295EFB" w:rsidP="00295EFB">
      <w:pPr>
        <w:keepNext/>
        <w:spacing w:before="0"/>
        <w:ind w:left="720"/>
        <w:contextualSpacing/>
        <w:jc w:val="left"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Wyliczenia reprezentatywne dla mieszkaniowego kredytu hipotecznego „Mój Dom”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br/>
        <w:t>na  09 sierpnia  2017 r.</w:t>
      </w:r>
    </w:p>
    <w:p w:rsidR="00295EFB" w:rsidRPr="00295EFB" w:rsidRDefault="00295EFB" w:rsidP="00295EFB">
      <w:pPr>
        <w:keepNext/>
        <w:spacing w:before="0"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spacing w:before="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Wskazanie możliwych innych kosztów nieujętych w całkowitym koszcie kredytu hipotecznego,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które konsument może </w:t>
      </w: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ponieść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w związku z umową o kredyt hipoteczny, i prognozowaną maksymalną wysokość tych kosztów;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Następujące koszty nie są znane kredytodawcy i dlatego nie są ujęte w RRSO: </w:t>
      </w:r>
    </w:p>
    <w:p w:rsidR="00295EFB" w:rsidRPr="00295EFB" w:rsidRDefault="00295EFB" w:rsidP="00295EFB">
      <w:pPr>
        <w:keepNext/>
        <w:numPr>
          <w:ilvl w:val="0"/>
          <w:numId w:val="27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koszt wyceny nieruchomości – Bank Spółdzielczy w Pieńsku nie jest dostawcą tej usługi dodatkowej dla konsumenta;</w:t>
      </w:r>
    </w:p>
    <w:p w:rsidR="00295EFB" w:rsidRPr="00295EFB" w:rsidRDefault="00295EFB" w:rsidP="00295EFB">
      <w:pPr>
        <w:keepNext/>
        <w:numPr>
          <w:ilvl w:val="0"/>
          <w:numId w:val="27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koszt ubezpieczenia na życie Kredytobiorcy spoza oferty Banku – koszt nieznany Banku</w:t>
      </w:r>
    </w:p>
    <w:p w:rsidR="00295EFB" w:rsidRPr="00295EFB" w:rsidRDefault="00295EFB" w:rsidP="00295EFB">
      <w:pPr>
        <w:keepNext/>
        <w:numPr>
          <w:ilvl w:val="0"/>
          <w:numId w:val="27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koszt ubezpieczenia nieruchomości spoza oferty Banku – koszt nieznany Banku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Będą Państwo musieli ponieść koszty ustanowienia hipoteki. 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Proszę się upewnić, że mają Państwo świadomość wszystkich innych opłat i kosztów związanych z Państwa kredytem hipotecznym.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spacing w:before="0"/>
        <w:contextualSpacing/>
        <w:rPr>
          <w:rFonts w:ascii="Calibri" w:eastAsia="Calibri" w:hAnsi="Calibri" w:cs="Times New Roman"/>
          <w:b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Poszczególne warianty spłaty kredytu hipotecznego oferowane przez Bank Spółdzielczy w Pieńsku, w tym liczbę, częstotliwość i wysokość regularnie spłacanych rat;</w:t>
      </w: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b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Bank umożliwia spłatę rat kredytów w:</w:t>
      </w:r>
    </w:p>
    <w:p w:rsidR="00295EFB" w:rsidRPr="00295EFB" w:rsidRDefault="00295EFB" w:rsidP="00295EFB">
      <w:pPr>
        <w:keepNext/>
        <w:numPr>
          <w:ilvl w:val="0"/>
          <w:numId w:val="28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równych ratach kapitałowo-odsetkowych</w:t>
      </w:r>
    </w:p>
    <w:p w:rsidR="00295EFB" w:rsidRPr="00295EFB" w:rsidRDefault="00295EFB" w:rsidP="00295EFB">
      <w:pPr>
        <w:keepNext/>
        <w:numPr>
          <w:ilvl w:val="0"/>
          <w:numId w:val="28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malejących ratach kapitałowo-odsetkowych</w:t>
      </w: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Raty kredytu spłacane są w częstotliwości miesięcznej.</w:t>
      </w: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Równa rata miesięczna: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1 138,16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PLN</w:t>
      </w: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Przy założeniu z przykładu reprezentatywnego, że: </w:t>
      </w: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całkowita kwota kredytu: 200 000 PLN (bez kredytowanych kosztów); </w:t>
      </w: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okres kredytowania: 300 miesięcy; </w:t>
      </w: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wkład własny: 20% wartości nieruchomości;  </w:t>
      </w:r>
    </w:p>
    <w:p w:rsidR="00295EFB" w:rsidRPr="00295EFB" w:rsidRDefault="00295EFB" w:rsidP="00295EFB">
      <w:pPr>
        <w:keepNext/>
        <w:tabs>
          <w:tab w:val="left" w:pos="1830"/>
        </w:tabs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oprocentowanie kredytu: [ 4,73 ] % w skali roku – wyliczone jako suma aktualnej stopy bazowej kredytu (stopa zmienna WIBOR 3M: 1.73 %) i marży Banku w wysokości 3%</w:t>
      </w:r>
    </w:p>
    <w:p w:rsidR="00295EFB" w:rsidRPr="00295EFB" w:rsidRDefault="00295EFB" w:rsidP="00295EFB">
      <w:pPr>
        <w:keepNext/>
        <w:tabs>
          <w:tab w:val="left" w:pos="1830"/>
        </w:tabs>
        <w:spacing w:before="0"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                Wyliczenia na dzień 09.08.2017 r. </w:t>
      </w:r>
    </w:p>
    <w:p w:rsidR="00295EFB" w:rsidRPr="00295EFB" w:rsidRDefault="00295EFB" w:rsidP="00295EFB">
      <w:pPr>
        <w:keepNext/>
        <w:tabs>
          <w:tab w:val="left" w:pos="1830"/>
        </w:tabs>
        <w:spacing w:before="0"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tabs>
          <w:tab w:val="left" w:pos="1830"/>
        </w:tabs>
        <w:spacing w:before="0"/>
        <w:contextualSpacing/>
        <w:rPr>
          <w:rFonts w:ascii="Calibri" w:eastAsia="Calibri" w:hAnsi="Calibri" w:cs="Times New Roman"/>
          <w:b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Opis warunków bezpośrednio związanych z przedterminową spłatą kredytu hipotecznego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Mają Państwo możliwość przedterminowej spłaty tego kredytu hipotecznego w całości lub w części.</w:t>
      </w:r>
    </w:p>
    <w:p w:rsidR="00295EFB" w:rsidRPr="00295EFB" w:rsidRDefault="00295EFB" w:rsidP="00295EFB">
      <w:pPr>
        <w:keepNext/>
        <w:spacing w:before="0"/>
        <w:ind w:left="708"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W przypadku, wcześniejszej spłaty części kredytu Kredytobiorca może wystąpić do Banku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br/>
        <w:t>z wnioskiem o przekazanie informacji o kosztach spłaty całości lub części kredytu hipotecznego przed terminem określonym w Umowie o kredyt.</w:t>
      </w:r>
    </w:p>
    <w:p w:rsidR="00295EFB" w:rsidRPr="00295EFB" w:rsidRDefault="00295EFB" w:rsidP="00295EFB">
      <w:pPr>
        <w:keepNext/>
        <w:spacing w:before="0"/>
        <w:ind w:left="708" w:firstLine="12"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Bank przekazuje Kredytobiorcy, na trwałym nośniku, informację, o której mowa w ust. 2, wraz z założeniami przyjętymi do jej ustalenia, w terminie 7 dni roboczych od dnia otrzymania wniosku Kredytobiorcy o przekazanie powyższych informacji.</w:t>
      </w:r>
    </w:p>
    <w:p w:rsidR="00295EFB" w:rsidRPr="00295EFB" w:rsidRDefault="00295EFB" w:rsidP="00295EFB">
      <w:pPr>
        <w:keepNext/>
        <w:spacing w:before="0"/>
        <w:ind w:left="708"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W przypadku wcześniejszej spłaty części kredytu Kredytobiorca powinien składając do Banku dyspozycję wcześniejszej spłaty kredytu hipotecznego, wskazać, czy wcześniejsza spłata skróci okres spłaty kredytu z zachowaniem miesięcznych rat kapitałowo-odsetkowych czy też zmniejszy wysokość miesięcznych rat kapitałowo-odsetkowych z zachowaniem okresu spłaty kredytu. Brak takiego wskazania spowoduje odpowiednie zmniejszenie rat kapitałowo-odsetkowych z zachowaniem okresu spłaty kredytu.  </w:t>
      </w:r>
    </w:p>
    <w:p w:rsidR="00295EFB" w:rsidRPr="00295EFB" w:rsidRDefault="00295EFB" w:rsidP="00295EFB">
      <w:pPr>
        <w:keepNext/>
        <w:spacing w:before="0"/>
        <w:ind w:firstLine="708"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Zmiana warunków Umowy kredytu, o której mowa powyżej nie wymaga podpisania aneksu. </w:t>
      </w:r>
    </w:p>
    <w:p w:rsidR="00295EFB" w:rsidRPr="00295EFB" w:rsidRDefault="00295EFB" w:rsidP="00295EFB">
      <w:pPr>
        <w:keepNext/>
        <w:spacing w:before="0"/>
        <w:ind w:left="708"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Nowy harmonogram spłat wynikający z tej zmiany jest przesyłany na trwałym nośniku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br/>
        <w:t>do Kredytobiorcy oraz innych osób będących dłużnikami Banku z tytułu zabezpieczenia kredytu.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Opłata za wcześniejsze rozwiązanie umowy o kredyt hipoteczny.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W przypadku wcześniejszej spłaty kredytu Bank nie pobiera prowizji. 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spacing w:before="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Wskazanie, czy jest konieczna </w:t>
      </w: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wycena nieruchomości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i czy wiąże się to z kosztami dla konsumenta, a jeżeli tak, to w jakiej wysokości, oraz wskazanie, kto odpowiada za zapewnienie dokonania wyceny nieruchomości;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Bank wymaga wyceny od osoby ubiegającej się o kredyt zabezpieczony hipotecznie zgodnie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br/>
        <w:t>z poniższymi założeniami:</w:t>
      </w:r>
    </w:p>
    <w:p w:rsidR="00295EFB" w:rsidRPr="00295EFB" w:rsidRDefault="00295EFB" w:rsidP="00295EFB">
      <w:pPr>
        <w:keepNext/>
        <w:numPr>
          <w:ilvl w:val="0"/>
          <w:numId w:val="29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wycena musi być aktualna tj. nie starsza niż 6 miesięcy. Wycena wartości nieruchomości wykonana przez rzeczoznawcę  wpisanego w dniu wyceny na listę Centralnego Rejestru Rzeczoznawców Majątkowych prowadzoną przez Ministra Infrastruktury i Rozwoju lub wycena nie starsza niż 12 miesięcy, gdy załączono aktualizację wyceny dokonaną przez rzeczoznawcę majątkowego wykonującego wycenę (aktualizacja ważna jest 90 dni od daty jej wystawienia). 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W uzasadnionych przypadkach Bank może wymagać od Wnioskodawcy aktualizacji lub nowej wyceny nieruchomości. </w:t>
      </w:r>
    </w:p>
    <w:p w:rsid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numPr>
          <w:ilvl w:val="0"/>
          <w:numId w:val="29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lastRenderedPageBreak/>
        <w:t>Wycena nie jest konieczna w przypadku:</w:t>
      </w:r>
    </w:p>
    <w:p w:rsidR="00295EFB" w:rsidRPr="00295EFB" w:rsidRDefault="00295EFB" w:rsidP="00295EFB">
      <w:pPr>
        <w:keepNext/>
        <w:numPr>
          <w:ilvl w:val="0"/>
          <w:numId w:val="30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nabywania nieruchomości budowanej przez inwestora zastępczego (rynek pierwotny) – pod warunkiem zawarcia w umowie pomiędzy Wnioskodawcą a tymże inwestorem dokładnego opisu kredytowanej nieruchomości oraz dołączenia harmonogramu wpłat z tytułu tej umowy; (dotyczy również celu dodatkowego na wykończenie lokalu mieszkalnego/domu jednorodzinnego na rynku pierwotnym); </w:t>
      </w:r>
    </w:p>
    <w:p w:rsidR="00295EFB" w:rsidRPr="00295EFB" w:rsidRDefault="00295EFB" w:rsidP="00295EFB">
      <w:pPr>
        <w:keepNext/>
        <w:numPr>
          <w:ilvl w:val="0"/>
          <w:numId w:val="30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nabywania lokalu mieszkalnego od gminy, gdzie wszelkie informacje zawarte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br/>
        <w:t xml:space="preserve">są w dokumencie potwierdzającym prawo do nabycia lokalu przez Wnioskodawcę; </w:t>
      </w:r>
    </w:p>
    <w:p w:rsidR="00295EFB" w:rsidRPr="00295EFB" w:rsidRDefault="00295EFB" w:rsidP="00295EFB">
      <w:pPr>
        <w:keepNext/>
        <w:numPr>
          <w:ilvl w:val="0"/>
          <w:numId w:val="30"/>
        </w:numPr>
        <w:spacing w:before="0"/>
        <w:contextualSpacing/>
        <w:rPr>
          <w:rFonts w:ascii="Calibri" w:eastAsia="Calibri" w:hAnsi="Calibri" w:cs="Calibri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Calibri"/>
          <w:i/>
          <w:sz w:val="20"/>
          <w:szCs w:val="20"/>
          <w:lang w:val="pl-PL" w:bidi="pl-PL"/>
        </w:rPr>
        <w:t>kredytu przeznaczonego na remont w wysokości do 100 000 PLN, kiedy zakres prac nie wymaga zezwoleń organów administracyjnych i zmiany projektu;</w:t>
      </w:r>
    </w:p>
    <w:p w:rsidR="00295EFB" w:rsidRPr="00295EFB" w:rsidRDefault="00295EFB" w:rsidP="00295EFB">
      <w:pPr>
        <w:keepNext/>
        <w:numPr>
          <w:ilvl w:val="0"/>
          <w:numId w:val="30"/>
        </w:numPr>
        <w:spacing w:before="0"/>
        <w:contextualSpacing/>
        <w:rPr>
          <w:rFonts w:ascii="Calibri" w:eastAsia="Calibri" w:hAnsi="Calibri" w:cs="Calibri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Calibri"/>
          <w:i/>
          <w:sz w:val="20"/>
          <w:szCs w:val="20"/>
          <w:lang w:val="pl-PL" w:bidi="pl-PL"/>
        </w:rPr>
        <w:t>kredytu  w wysokości do 100 000 PLN;</w:t>
      </w:r>
    </w:p>
    <w:p w:rsidR="00295EFB" w:rsidRPr="00295EFB" w:rsidRDefault="00295EFB" w:rsidP="00295EFB">
      <w:pPr>
        <w:keepNext/>
        <w:numPr>
          <w:ilvl w:val="0"/>
          <w:numId w:val="30"/>
        </w:numPr>
        <w:spacing w:before="0"/>
        <w:contextualSpacing/>
        <w:rPr>
          <w:rFonts w:ascii="Calibri" w:eastAsia="Calibri" w:hAnsi="Calibri" w:cs="Calibri"/>
          <w:sz w:val="20"/>
          <w:szCs w:val="20"/>
          <w:lang w:val="pl-PL" w:eastAsia="pl-PL"/>
        </w:rPr>
      </w:pPr>
      <w:r w:rsidRPr="00295EFB">
        <w:rPr>
          <w:rFonts w:ascii="Calibri" w:eastAsia="Calibri" w:hAnsi="Calibri" w:cs="Calibri"/>
          <w:sz w:val="20"/>
          <w:szCs w:val="20"/>
          <w:lang w:val="pl-PL" w:eastAsia="pl-PL"/>
        </w:rPr>
        <w:t>kredytu w wysokości do 130.000,00 PLN włącznie  przeznaczonego na zakup nieruchomości i jej  remont, kiedy zakres prac nie wymaga zezwoleń organów administracyjnych i zmiany projektu, w tym kwota kredytu przeznaczonego na remont nie może przekroczyć 30.000,00</w:t>
      </w:r>
    </w:p>
    <w:p w:rsidR="00295EFB" w:rsidRPr="00295EFB" w:rsidRDefault="00295EFB" w:rsidP="00295EFB">
      <w:pPr>
        <w:keepNext/>
        <w:spacing w:before="0"/>
        <w:ind w:left="1776"/>
        <w:contextualSpacing/>
        <w:rPr>
          <w:rFonts w:ascii="Calibri" w:eastAsia="Calibri" w:hAnsi="Calibri" w:cs="Calibri"/>
          <w:sz w:val="20"/>
          <w:szCs w:val="20"/>
          <w:lang w:val="pl-PL" w:eastAsia="pl-PL"/>
        </w:rPr>
      </w:pPr>
      <w:r w:rsidRPr="00295EFB">
        <w:rPr>
          <w:rFonts w:ascii="Calibri" w:eastAsia="Calibri" w:hAnsi="Calibri" w:cs="Calibri"/>
          <w:sz w:val="20"/>
          <w:szCs w:val="20"/>
          <w:lang w:val="pl-PL" w:eastAsia="pl-PL"/>
        </w:rPr>
        <w:t>PLN włącznie .</w:t>
      </w:r>
    </w:p>
    <w:p w:rsidR="00295EFB" w:rsidRPr="00295EFB" w:rsidRDefault="00295EFB" w:rsidP="00295EFB">
      <w:pPr>
        <w:keepNext/>
        <w:spacing w:before="0"/>
        <w:ind w:left="108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spacing w:before="0"/>
        <w:ind w:left="108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>Koszt wyceny nie jest znany bankowi i zależy od wybranego indywidualnie przez Klienta Rzeczoznawcy Majątkowego.</w:t>
      </w:r>
    </w:p>
    <w:p w:rsidR="00295EFB" w:rsidRPr="00295EFB" w:rsidRDefault="00295EFB" w:rsidP="00295EFB">
      <w:pPr>
        <w:keepNext/>
        <w:spacing w:before="0"/>
        <w:ind w:left="1080"/>
        <w:contextualSpacing/>
        <w:rPr>
          <w:rFonts w:ascii="Calibri" w:eastAsia="Calibri" w:hAnsi="Calibri" w:cs="Times New Roman"/>
          <w:sz w:val="20"/>
          <w:szCs w:val="20"/>
          <w:lang w:val="pl-PL" w:bidi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spacing w:before="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Wskazanie usług dodatkowych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>, które konsument jest zobowiązany nabyć, aby uzyskać kredyt hipoteczny lub uzyskać go na reklamowanych warunkach, oraz, w stosownych przypadkach, wyjaśnienie, że usługi dodatkowe mogą być nabywane u usługodawcy innego niż kredytodawca: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bookmarkStart w:id="1" w:name="_Hlk491778368"/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                 Kredyt „Mój Dom” jest oferowany w Banku Spółdzielczym Pieńsku bez usług dodatkowych. </w:t>
      </w:r>
    </w:p>
    <w:bookmarkEnd w:id="1"/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spacing w:before="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Ostrzeżenie dotyczące możliwych konsekwencji </w:t>
      </w: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niewykonania lub nienależytego wykonania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zobowiązań związanych z umową o kredyt hipoteczny:</w:t>
      </w:r>
    </w:p>
    <w:p w:rsidR="00295EFB" w:rsidRPr="00295EFB" w:rsidRDefault="00295EFB" w:rsidP="00295EFB">
      <w:pPr>
        <w:keepNext/>
        <w:spacing w:before="0"/>
        <w:ind w:left="786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W przypadku:</w:t>
      </w:r>
    </w:p>
    <w:p w:rsidR="00295EFB" w:rsidRPr="00295EFB" w:rsidRDefault="00295EFB" w:rsidP="00295EFB">
      <w:pPr>
        <w:keepNext/>
        <w:numPr>
          <w:ilvl w:val="1"/>
          <w:numId w:val="21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nieprzedstawienia dokumentów (faktur lub rachunków) uzasadniających prawidłowość wykorzystania dotychczas uruchomionych środków kredytu lub wykorzystania kredytu niezgodnie z przeznaczeniem;</w:t>
      </w:r>
    </w:p>
    <w:p w:rsidR="00295EFB" w:rsidRPr="00295EFB" w:rsidRDefault="00295EFB" w:rsidP="00295EFB">
      <w:pPr>
        <w:keepNext/>
        <w:numPr>
          <w:ilvl w:val="1"/>
          <w:numId w:val="21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niespłacenia w terminie określonym w Umowie kredytu bieżącej pełnej raty odsetkowej;</w:t>
      </w:r>
    </w:p>
    <w:p w:rsidR="00295EFB" w:rsidRPr="00295EFB" w:rsidRDefault="00295EFB" w:rsidP="00295EFB">
      <w:pPr>
        <w:keepNext/>
        <w:numPr>
          <w:ilvl w:val="1"/>
          <w:numId w:val="21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 xml:space="preserve">niedopełnienia przez Kredytobiorcę zobowiązań określonych w Umowie kredytu dotyczących ustanowienia prawnych form spłaty kredytu hipotecznego </w:t>
      </w:r>
    </w:p>
    <w:p w:rsidR="00295EFB" w:rsidRPr="00295EFB" w:rsidRDefault="00295EFB" w:rsidP="00295EFB">
      <w:pPr>
        <w:keepNext/>
        <w:numPr>
          <w:ilvl w:val="1"/>
          <w:numId w:val="21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 w:bidi="pl-PL"/>
        </w:rPr>
        <w:t>niedopełniania przez Kredytobiorcę zobowiązań do terminowego realizowania postanowień Umowy kredytu oraz posiadania ważnych polis z tytułu ubezpieczenia nieruchomości lub ubezpieczenia na życie Kredytobiorcy, stanowiących zabezpieczenie kredytu;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Bank może wstrzymać wypłaty kolejnych transz kredytu do czasu wykonania tych obowiązków.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Bank może wstrzymać wypłaty kolejnych transz kredytu do czasu złożenia przez Kredytobiorcę wyjaśnień dotyczących zaistniałej sytuacji i zaakceptowania ich przez Bank i/lub wypowiedzieć Umowę kredytu  w przypadku, gdy Kredytobiorca:</w:t>
      </w:r>
    </w:p>
    <w:p w:rsidR="00295EFB" w:rsidRPr="00295EFB" w:rsidRDefault="00295EFB" w:rsidP="00295EFB">
      <w:pPr>
        <w:keepNext/>
        <w:numPr>
          <w:ilvl w:val="0"/>
          <w:numId w:val="31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złożył fałszywe dokumenty lub podał nieprawdziwe dane stanowiące podstawę udzielenia kredytu;</w:t>
      </w:r>
    </w:p>
    <w:p w:rsidR="00295EFB" w:rsidRPr="00295EFB" w:rsidRDefault="00295EFB" w:rsidP="00295EFB">
      <w:pPr>
        <w:keepNext/>
        <w:numPr>
          <w:ilvl w:val="0"/>
          <w:numId w:val="31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złożył niezgodne z prawdą oświadczenia, w tym dotyczące prawnego zabezpieczenia i bycia stroną umowy innego kredytu; lub </w:t>
      </w:r>
    </w:p>
    <w:p w:rsidR="00295EFB" w:rsidRPr="00295EFB" w:rsidRDefault="00295EFB" w:rsidP="00295EFB">
      <w:pPr>
        <w:keepNext/>
        <w:numPr>
          <w:ilvl w:val="0"/>
          <w:numId w:val="31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kredyt został udzielony wskutek innych działań sprzecznych z prawem dokonanych przez Kredytobiorcę oraz inne osoby będące dłużnikami Banku z tytułu zabezpieczenia wierzytelności Banku wynikającej z udzielonego kredytu.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W przypadku:</w:t>
      </w:r>
    </w:p>
    <w:p w:rsidR="00295EFB" w:rsidRPr="00295EFB" w:rsidRDefault="00295EFB" w:rsidP="00295EFB">
      <w:pPr>
        <w:keepNext/>
        <w:numPr>
          <w:ilvl w:val="0"/>
          <w:numId w:val="3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przekroczenia poziomu LTV 80% / poziomu LTV 90% dla Umów kredytów  zawartych z ubezpieczeniem NWW; </w:t>
      </w:r>
    </w:p>
    <w:p w:rsidR="00295EFB" w:rsidRPr="00295EFB" w:rsidRDefault="00295EFB" w:rsidP="00295EFB">
      <w:pPr>
        <w:keepNext/>
        <w:numPr>
          <w:ilvl w:val="0"/>
          <w:numId w:val="3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zwiększenia, o co najmniej 10% w porównaniu do relacji ustalonej na dzień zawarcia Umowy kredytu, stosunku salda zadłużenia kredytu do wartości ustanowionych prawnie zabezpieczeń, w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lastRenderedPageBreak/>
        <w:t>szczególności wartości nieruchomości stanowiącej przedmiot zabezpieczenia hipotecznego kredytu lub;</w:t>
      </w:r>
    </w:p>
    <w:p w:rsidR="00295EFB" w:rsidRPr="00295EFB" w:rsidRDefault="00295EFB" w:rsidP="00295EFB">
      <w:pPr>
        <w:keepNext/>
        <w:numPr>
          <w:ilvl w:val="0"/>
          <w:numId w:val="3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obniżenia, o co najmniej 20% wartości nieruchomości stanowiącej przedmiot zabezpieczenia kredytu w stosunku do jej wartości ustalonej na podstawie ostatniej posiadanej przez Bank wyceny lub;</w:t>
      </w:r>
    </w:p>
    <w:p w:rsidR="00295EFB" w:rsidRPr="00295EFB" w:rsidRDefault="00295EFB" w:rsidP="00295EFB">
      <w:pPr>
        <w:keepNext/>
        <w:numPr>
          <w:ilvl w:val="0"/>
          <w:numId w:val="32"/>
        </w:numPr>
        <w:spacing w:before="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braku  zabezpieczenia spłaty kredytu określonego w Umowie kredytu;</w:t>
      </w:r>
    </w:p>
    <w:p w:rsidR="00295EFB" w:rsidRPr="00295EFB" w:rsidRDefault="00295EFB" w:rsidP="00295EFB">
      <w:pPr>
        <w:keepNext/>
        <w:spacing w:before="0"/>
        <w:ind w:left="720"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20"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Kredytobiorca zobowiązany jest ustanowić dodatkowe zabezpieczenie o wartości adekwatnej do obniżonej wartości zabezpieczenia nie później niż 30 dni kalendarzowych od otrzymania odpowiedniego wezwania od Banku pod rygorem wypowiedzenia Umowy kredytu.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W przypadku utraty zdolności kredytowej Kredytobiorcy Bank może zobowiązać Kredytobiorcę do ustanowienia zabezpieczenia w formie poręczenia spłaty kredytu w terminie 30 dni od otrzymania odpowiedniego wezwania od Banku pod rygorem wypowiedzenia Umowy kredytu.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Nieprzestrzeganie warunków umowy kredytu zabezpieczanego hipoteką w Banku Spółdzielczym w Pieńsku niesie dla Konsumenta konsekwencje finansowe.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ind w:left="709"/>
        <w:jc w:val="left"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Proszę zwrócić uwagę na ewentualne skutki rezygnacji w późniejszym terminie z którejkolwiek z usług dodatkowych:  nie dotyczy </w:t>
      </w:r>
    </w:p>
    <w:p w:rsidR="00295EFB" w:rsidRPr="00295EFB" w:rsidRDefault="00295EFB" w:rsidP="00295EFB">
      <w:pPr>
        <w:keepNext/>
        <w:spacing w:before="0"/>
        <w:ind w:left="709"/>
        <w:jc w:val="left"/>
        <w:rPr>
          <w:rFonts w:ascii="Calibri" w:eastAsia="Calibri" w:hAnsi="Calibri" w:cs="Times New Roman"/>
          <w:i/>
          <w:sz w:val="20"/>
          <w:szCs w:val="20"/>
          <w:lang w:val="pl-PL" w:bidi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Kredyt „Mój Dom” jest oferowany w Banku Spółdzielczym Pieńsku bez usług dodatkowych. 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i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spacing w:before="0"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               Rezygnacja z któregokolwiek z zabezpieczeń kredytu hipotecznego stanowi zmianę warunków Umowy </w:t>
      </w:r>
    </w:p>
    <w:p w:rsidR="00295EFB" w:rsidRPr="00295EFB" w:rsidRDefault="00295EFB" w:rsidP="00295EFB">
      <w:pPr>
        <w:keepNext/>
        <w:spacing w:before="0"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               Kredytu i wymaga podpisania aneksu. Za sporządzenie aneksu Bank pobiera opłatę w wysokości </w:t>
      </w:r>
    </w:p>
    <w:p w:rsidR="00295EFB" w:rsidRPr="00295EFB" w:rsidRDefault="00295EFB" w:rsidP="00295EFB">
      <w:pPr>
        <w:keepNext/>
        <w:spacing w:before="0"/>
        <w:rPr>
          <w:rFonts w:ascii="Calibri" w:eastAsia="Calibri" w:hAnsi="Calibri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 xml:space="preserve">              100,00PLN.</w:t>
      </w:r>
    </w:p>
    <w:p w:rsidR="00295EFB" w:rsidRPr="00295EFB" w:rsidRDefault="00295EFB" w:rsidP="00295EFB">
      <w:pPr>
        <w:keepNext/>
        <w:spacing w:before="0"/>
        <w:ind w:left="720"/>
        <w:contextualSpacing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keepNext/>
        <w:numPr>
          <w:ilvl w:val="0"/>
          <w:numId w:val="21"/>
        </w:numPr>
        <w:spacing w:before="0"/>
        <w:contextualSpacing/>
        <w:rPr>
          <w:rFonts w:ascii="Arial Narrow" w:eastAsia="Calibri" w:hAnsi="Arial Narrow" w:cs="Times New Roman"/>
          <w:i/>
          <w:sz w:val="20"/>
          <w:szCs w:val="20"/>
          <w:lang w:val="pl-PL"/>
        </w:rPr>
      </w:pPr>
      <w:r w:rsidRPr="00295EFB">
        <w:rPr>
          <w:rFonts w:ascii="Calibri" w:eastAsia="Calibri" w:hAnsi="Calibri" w:cs="Times New Roman"/>
          <w:b/>
          <w:sz w:val="20"/>
          <w:szCs w:val="20"/>
          <w:lang w:val="pl-PL" w:bidi="pl-PL"/>
        </w:rPr>
        <w:t>W przypadku gdy umowa o kredyt hipoteczny dotyczy kredytu hipotecznego objętego wsparciem udzielanym ze środków publicznych</w:t>
      </w:r>
      <w:r w:rsidRPr="00295EFB">
        <w:rPr>
          <w:rFonts w:ascii="Calibri" w:eastAsia="Calibri" w:hAnsi="Calibri" w:cs="Times New Roman"/>
          <w:sz w:val="20"/>
          <w:szCs w:val="20"/>
          <w:lang w:val="pl-PL" w:bidi="pl-PL"/>
        </w:rPr>
        <w:t xml:space="preserve"> - wskazanie warunków, kryteriów i ograniczeń oraz wymaganych dokumentów związanych z otrzymaniem takiego wsparcia: </w:t>
      </w:r>
      <w:r w:rsidRPr="00295EFB">
        <w:rPr>
          <w:rFonts w:ascii="Calibri" w:eastAsia="Calibri" w:hAnsi="Calibri" w:cs="Times New Roman"/>
          <w:i/>
          <w:sz w:val="20"/>
          <w:szCs w:val="20"/>
          <w:lang w:val="pl-PL"/>
        </w:rPr>
        <w:t>nie dotyczy.</w:t>
      </w:r>
    </w:p>
    <w:p w:rsidR="00295EFB" w:rsidRPr="00295EFB" w:rsidRDefault="00295EFB" w:rsidP="00295EFB">
      <w:pPr>
        <w:spacing w:before="0"/>
        <w:rPr>
          <w:rFonts w:ascii="Calibri" w:eastAsia="Calibri" w:hAnsi="Calibri" w:cs="Times New Roman"/>
          <w:sz w:val="20"/>
          <w:szCs w:val="20"/>
          <w:lang w:val="pl-PL"/>
        </w:rPr>
      </w:pPr>
    </w:p>
    <w:p w:rsidR="00295EFB" w:rsidRPr="00295EFB" w:rsidRDefault="00295EFB" w:rsidP="00295EFB">
      <w:pPr>
        <w:spacing w:before="0"/>
        <w:rPr>
          <w:rFonts w:ascii="Calibri" w:eastAsia="Calibri" w:hAnsi="Calibri" w:cs="Times New Roman"/>
          <w:sz w:val="20"/>
          <w:szCs w:val="20"/>
          <w:lang w:val="pl-PL"/>
        </w:rPr>
      </w:pPr>
    </w:p>
    <w:p w:rsidR="00585D92" w:rsidRPr="00585D92" w:rsidRDefault="00585D92" w:rsidP="00585D92">
      <w:pPr>
        <w:pStyle w:val="Akapitzlist"/>
        <w:keepNext/>
        <w:rPr>
          <w:b/>
          <w:lang w:val="pl-PL" w:bidi="pl-PL"/>
        </w:rPr>
      </w:pPr>
    </w:p>
    <w:sectPr w:rsidR="00585D92" w:rsidRPr="00585D92" w:rsidSect="002E319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02E" w:rsidRDefault="006C102E" w:rsidP="00C93D77">
      <w:pPr>
        <w:spacing w:before="0"/>
      </w:pPr>
      <w:r>
        <w:separator/>
      </w:r>
    </w:p>
  </w:endnote>
  <w:endnote w:type="continuationSeparator" w:id="0">
    <w:p w:rsidR="006C102E" w:rsidRDefault="006C102E" w:rsidP="00C93D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02E" w:rsidRDefault="006C102E" w:rsidP="00C93D77">
      <w:pPr>
        <w:spacing w:before="0"/>
      </w:pPr>
      <w:r>
        <w:separator/>
      </w:r>
    </w:p>
  </w:footnote>
  <w:footnote w:type="continuationSeparator" w:id="0">
    <w:p w:rsidR="006C102E" w:rsidRDefault="006C102E" w:rsidP="00C93D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192" w:rsidRDefault="002E3192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3C9898D" wp14:editId="25AEB4D3">
              <wp:simplePos x="0" y="0"/>
              <wp:positionH relativeFrom="column">
                <wp:posOffset>538480</wp:posOffset>
              </wp:positionH>
              <wp:positionV relativeFrom="paragraph">
                <wp:posOffset>-316230</wp:posOffset>
              </wp:positionV>
              <wp:extent cx="4388485" cy="809877"/>
              <wp:effectExtent l="0" t="0" r="0" b="952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88485" cy="809877"/>
                        <a:chOff x="790" y="412"/>
                        <a:chExt cx="7349" cy="1249"/>
                      </a:xfrm>
                    </wpg:grpSpPr>
                    <wpg:grpSp>
                      <wpg:cNvPr id="2" name="Group 28"/>
                      <wpg:cNvGrpSpPr>
                        <a:grpSpLocks/>
                      </wpg:cNvGrpSpPr>
                      <wpg:grpSpPr bwMode="auto">
                        <a:xfrm>
                          <a:off x="790" y="412"/>
                          <a:ext cx="1241" cy="899"/>
                          <a:chOff x="0" y="0"/>
                          <a:chExt cx="1334" cy="1155"/>
                        </a:xfrm>
                      </wpg:grpSpPr>
                      <wps:wsp>
                        <wps:cNvPr id="3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4" cy="1155"/>
                          </a:xfrm>
                          <a:custGeom>
                            <a:avLst/>
                            <a:gdLst>
                              <a:gd name="T0" fmla="*/ 256 w 1334"/>
                              <a:gd name="T1" fmla="*/ 0 h 1155"/>
                              <a:gd name="T2" fmla="*/ 1334 w 1334"/>
                              <a:gd name="T3" fmla="*/ 0 h 1155"/>
                              <a:gd name="T4" fmla="*/ 1078 w 1334"/>
                              <a:gd name="T5" fmla="*/ 1155 h 1155"/>
                              <a:gd name="T6" fmla="*/ 0 w 1334"/>
                              <a:gd name="T7" fmla="*/ 1155 h 1155"/>
                              <a:gd name="T8" fmla="*/ 256 w 1334"/>
                              <a:gd name="T9" fmla="*/ 0 h 115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4" h="1155">
                                <a:moveTo>
                                  <a:pt x="256" y="0"/>
                                </a:moveTo>
                                <a:lnTo>
                                  <a:pt x="1334" y="0"/>
                                </a:lnTo>
                                <a:lnTo>
                                  <a:pt x="1078" y="1155"/>
                                </a:lnTo>
                                <a:lnTo>
                                  <a:pt x="0" y="1155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0"/>
                        <wps:cNvSpPr>
                          <a:spLocks/>
                        </wps:cNvSpPr>
                        <wps:spPr bwMode="auto">
                          <a:xfrm>
                            <a:off x="239" y="135"/>
                            <a:ext cx="878" cy="892"/>
                          </a:xfrm>
                          <a:custGeom>
                            <a:avLst/>
                            <a:gdLst>
                              <a:gd name="T0" fmla="*/ 772 w 878"/>
                              <a:gd name="T1" fmla="*/ 203 h 892"/>
                              <a:gd name="T2" fmla="*/ 717 w 878"/>
                              <a:gd name="T3" fmla="*/ 128 h 892"/>
                              <a:gd name="T4" fmla="*/ 617 w 878"/>
                              <a:gd name="T5" fmla="*/ 108 h 892"/>
                              <a:gd name="T6" fmla="*/ 539 w 878"/>
                              <a:gd name="T7" fmla="*/ 108 h 892"/>
                              <a:gd name="T8" fmla="*/ 489 w 878"/>
                              <a:gd name="T9" fmla="*/ 122 h 892"/>
                              <a:gd name="T10" fmla="*/ 439 w 878"/>
                              <a:gd name="T11" fmla="*/ 142 h 892"/>
                              <a:gd name="T12" fmla="*/ 461 w 878"/>
                              <a:gd name="T13" fmla="*/ 95 h 892"/>
                              <a:gd name="T14" fmla="*/ 528 w 878"/>
                              <a:gd name="T15" fmla="*/ 68 h 892"/>
                              <a:gd name="T16" fmla="*/ 567 w 878"/>
                              <a:gd name="T17" fmla="*/ 54 h 892"/>
                              <a:gd name="T18" fmla="*/ 706 w 878"/>
                              <a:gd name="T19" fmla="*/ 41 h 892"/>
                              <a:gd name="T20" fmla="*/ 822 w 878"/>
                              <a:gd name="T21" fmla="*/ 95 h 892"/>
                              <a:gd name="T22" fmla="*/ 856 w 878"/>
                              <a:gd name="T23" fmla="*/ 142 h 892"/>
                              <a:gd name="T24" fmla="*/ 872 w 878"/>
                              <a:gd name="T25" fmla="*/ 189 h 892"/>
                              <a:gd name="T26" fmla="*/ 872 w 878"/>
                              <a:gd name="T27" fmla="*/ 223 h 892"/>
                              <a:gd name="T28" fmla="*/ 878 w 878"/>
                              <a:gd name="T29" fmla="*/ 264 h 892"/>
                              <a:gd name="T30" fmla="*/ 867 w 878"/>
                              <a:gd name="T31" fmla="*/ 621 h 892"/>
                              <a:gd name="T32" fmla="*/ 828 w 878"/>
                              <a:gd name="T33" fmla="*/ 696 h 892"/>
                              <a:gd name="T34" fmla="*/ 772 w 878"/>
                              <a:gd name="T35" fmla="*/ 750 h 892"/>
                              <a:gd name="T36" fmla="*/ 672 w 878"/>
                              <a:gd name="T37" fmla="*/ 797 h 892"/>
                              <a:gd name="T38" fmla="*/ 589 w 878"/>
                              <a:gd name="T39" fmla="*/ 838 h 892"/>
                              <a:gd name="T40" fmla="*/ 522 w 878"/>
                              <a:gd name="T41" fmla="*/ 892 h 892"/>
                              <a:gd name="T42" fmla="*/ 456 w 878"/>
                              <a:gd name="T43" fmla="*/ 811 h 892"/>
                              <a:gd name="T44" fmla="*/ 383 w 878"/>
                              <a:gd name="T45" fmla="*/ 770 h 892"/>
                              <a:gd name="T46" fmla="*/ 294 w 878"/>
                              <a:gd name="T47" fmla="*/ 750 h 892"/>
                              <a:gd name="T48" fmla="*/ 139 w 878"/>
                              <a:gd name="T49" fmla="*/ 716 h 892"/>
                              <a:gd name="T50" fmla="*/ 28 w 878"/>
                              <a:gd name="T51" fmla="*/ 642 h 892"/>
                              <a:gd name="T52" fmla="*/ 0 w 878"/>
                              <a:gd name="T53" fmla="*/ 561 h 892"/>
                              <a:gd name="T54" fmla="*/ 5 w 878"/>
                              <a:gd name="T55" fmla="*/ 155 h 892"/>
                              <a:gd name="T56" fmla="*/ 28 w 878"/>
                              <a:gd name="T57" fmla="*/ 101 h 892"/>
                              <a:gd name="T58" fmla="*/ 89 w 878"/>
                              <a:gd name="T59" fmla="*/ 47 h 892"/>
                              <a:gd name="T60" fmla="*/ 172 w 878"/>
                              <a:gd name="T61" fmla="*/ 14 h 892"/>
                              <a:gd name="T62" fmla="*/ 261 w 878"/>
                              <a:gd name="T63" fmla="*/ 7 h 892"/>
                              <a:gd name="T64" fmla="*/ 344 w 878"/>
                              <a:gd name="T65" fmla="*/ 20 h 892"/>
                              <a:gd name="T66" fmla="*/ 422 w 878"/>
                              <a:gd name="T67" fmla="*/ 27 h 892"/>
                              <a:gd name="T68" fmla="*/ 494 w 878"/>
                              <a:gd name="T69" fmla="*/ 7 h 892"/>
                              <a:gd name="T70" fmla="*/ 517 w 878"/>
                              <a:gd name="T71" fmla="*/ 14 h 892"/>
                              <a:gd name="T72" fmla="*/ 472 w 878"/>
                              <a:gd name="T73" fmla="*/ 54 h 892"/>
                              <a:gd name="T74" fmla="*/ 400 w 878"/>
                              <a:gd name="T75" fmla="*/ 81 h 892"/>
                              <a:gd name="T76" fmla="*/ 317 w 878"/>
                              <a:gd name="T77" fmla="*/ 74 h 892"/>
                              <a:gd name="T78" fmla="*/ 233 w 878"/>
                              <a:gd name="T79" fmla="*/ 61 h 892"/>
                              <a:gd name="T80" fmla="*/ 161 w 878"/>
                              <a:gd name="T81" fmla="*/ 81 h 892"/>
                              <a:gd name="T82" fmla="*/ 122 w 878"/>
                              <a:gd name="T83" fmla="*/ 135 h 892"/>
                              <a:gd name="T84" fmla="*/ 111 w 878"/>
                              <a:gd name="T85" fmla="*/ 182 h 892"/>
                              <a:gd name="T86" fmla="*/ 106 w 878"/>
                              <a:gd name="T87" fmla="*/ 243 h 892"/>
                              <a:gd name="T88" fmla="*/ 111 w 878"/>
                              <a:gd name="T89" fmla="*/ 493 h 892"/>
                              <a:gd name="T90" fmla="*/ 122 w 878"/>
                              <a:gd name="T91" fmla="*/ 567 h 892"/>
                              <a:gd name="T92" fmla="*/ 156 w 878"/>
                              <a:gd name="T93" fmla="*/ 615 h 892"/>
                              <a:gd name="T94" fmla="*/ 228 w 878"/>
                              <a:gd name="T95" fmla="*/ 642 h 892"/>
                              <a:gd name="T96" fmla="*/ 294 w 878"/>
                              <a:gd name="T97" fmla="*/ 655 h 892"/>
                              <a:gd name="T98" fmla="*/ 339 w 878"/>
                              <a:gd name="T99" fmla="*/ 655 h 892"/>
                              <a:gd name="T100" fmla="*/ 378 w 878"/>
                              <a:gd name="T101" fmla="*/ 669 h 892"/>
                              <a:gd name="T102" fmla="*/ 461 w 878"/>
                              <a:gd name="T103" fmla="*/ 716 h 892"/>
                              <a:gd name="T104" fmla="*/ 528 w 878"/>
                              <a:gd name="T105" fmla="*/ 784 h 892"/>
                              <a:gd name="T106" fmla="*/ 567 w 878"/>
                              <a:gd name="T107" fmla="*/ 763 h 892"/>
                              <a:gd name="T108" fmla="*/ 600 w 878"/>
                              <a:gd name="T109" fmla="*/ 743 h 892"/>
                              <a:gd name="T110" fmla="*/ 656 w 878"/>
                              <a:gd name="T111" fmla="*/ 716 h 892"/>
                              <a:gd name="T112" fmla="*/ 728 w 878"/>
                              <a:gd name="T113" fmla="*/ 662 h 892"/>
                              <a:gd name="T114" fmla="*/ 772 w 878"/>
                              <a:gd name="T115" fmla="*/ 594 h 892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78" h="892">
                                <a:moveTo>
                                  <a:pt x="778" y="574"/>
                                </a:moveTo>
                                <a:lnTo>
                                  <a:pt x="778" y="250"/>
                                </a:lnTo>
                                <a:lnTo>
                                  <a:pt x="772" y="203"/>
                                </a:lnTo>
                                <a:lnTo>
                                  <a:pt x="761" y="176"/>
                                </a:lnTo>
                                <a:lnTo>
                                  <a:pt x="739" y="149"/>
                                </a:lnTo>
                                <a:lnTo>
                                  <a:pt x="717" y="128"/>
                                </a:lnTo>
                                <a:lnTo>
                                  <a:pt x="689" y="115"/>
                                </a:lnTo>
                                <a:lnTo>
                                  <a:pt x="656" y="108"/>
                                </a:lnTo>
                                <a:lnTo>
                                  <a:pt x="617" y="108"/>
                                </a:lnTo>
                                <a:lnTo>
                                  <a:pt x="578" y="108"/>
                                </a:lnTo>
                                <a:lnTo>
                                  <a:pt x="561" y="108"/>
                                </a:lnTo>
                                <a:lnTo>
                                  <a:pt x="539" y="108"/>
                                </a:lnTo>
                                <a:lnTo>
                                  <a:pt x="522" y="115"/>
                                </a:lnTo>
                                <a:lnTo>
                                  <a:pt x="506" y="122"/>
                                </a:lnTo>
                                <a:lnTo>
                                  <a:pt x="489" y="122"/>
                                </a:lnTo>
                                <a:lnTo>
                                  <a:pt x="472" y="128"/>
                                </a:lnTo>
                                <a:lnTo>
                                  <a:pt x="456" y="135"/>
                                </a:lnTo>
                                <a:lnTo>
                                  <a:pt x="439" y="142"/>
                                </a:lnTo>
                                <a:lnTo>
                                  <a:pt x="433" y="115"/>
                                </a:lnTo>
                                <a:lnTo>
                                  <a:pt x="439" y="108"/>
                                </a:lnTo>
                                <a:lnTo>
                                  <a:pt x="461" y="95"/>
                                </a:lnTo>
                                <a:lnTo>
                                  <a:pt x="478" y="88"/>
                                </a:lnTo>
                                <a:lnTo>
                                  <a:pt x="506" y="74"/>
                                </a:lnTo>
                                <a:lnTo>
                                  <a:pt x="528" y="68"/>
                                </a:lnTo>
                                <a:lnTo>
                                  <a:pt x="544" y="61"/>
                                </a:lnTo>
                                <a:lnTo>
                                  <a:pt x="561" y="54"/>
                                </a:lnTo>
                                <a:lnTo>
                                  <a:pt x="567" y="54"/>
                                </a:lnTo>
                                <a:lnTo>
                                  <a:pt x="611" y="41"/>
                                </a:lnTo>
                                <a:lnTo>
                                  <a:pt x="661" y="41"/>
                                </a:lnTo>
                                <a:lnTo>
                                  <a:pt x="706" y="41"/>
                                </a:lnTo>
                                <a:lnTo>
                                  <a:pt x="750" y="54"/>
                                </a:lnTo>
                                <a:lnTo>
                                  <a:pt x="789" y="68"/>
                                </a:lnTo>
                                <a:lnTo>
                                  <a:pt x="822" y="95"/>
                                </a:lnTo>
                                <a:lnTo>
                                  <a:pt x="833" y="108"/>
                                </a:lnTo>
                                <a:lnTo>
                                  <a:pt x="850" y="122"/>
                                </a:lnTo>
                                <a:lnTo>
                                  <a:pt x="856" y="142"/>
                                </a:lnTo>
                                <a:lnTo>
                                  <a:pt x="867" y="162"/>
                                </a:lnTo>
                                <a:lnTo>
                                  <a:pt x="867" y="176"/>
                                </a:lnTo>
                                <a:lnTo>
                                  <a:pt x="872" y="189"/>
                                </a:lnTo>
                                <a:lnTo>
                                  <a:pt x="872" y="196"/>
                                </a:lnTo>
                                <a:lnTo>
                                  <a:pt x="872" y="209"/>
                                </a:lnTo>
                                <a:lnTo>
                                  <a:pt x="872" y="223"/>
                                </a:lnTo>
                                <a:lnTo>
                                  <a:pt x="878" y="236"/>
                                </a:lnTo>
                                <a:lnTo>
                                  <a:pt x="878" y="250"/>
                                </a:lnTo>
                                <a:lnTo>
                                  <a:pt x="878" y="264"/>
                                </a:lnTo>
                                <a:lnTo>
                                  <a:pt x="878" y="567"/>
                                </a:lnTo>
                                <a:lnTo>
                                  <a:pt x="872" y="594"/>
                                </a:lnTo>
                                <a:lnTo>
                                  <a:pt x="867" y="621"/>
                                </a:lnTo>
                                <a:lnTo>
                                  <a:pt x="861" y="649"/>
                                </a:lnTo>
                                <a:lnTo>
                                  <a:pt x="845" y="669"/>
                                </a:lnTo>
                                <a:lnTo>
                                  <a:pt x="828" y="696"/>
                                </a:lnTo>
                                <a:lnTo>
                                  <a:pt x="811" y="716"/>
                                </a:lnTo>
                                <a:lnTo>
                                  <a:pt x="789" y="736"/>
                                </a:lnTo>
                                <a:lnTo>
                                  <a:pt x="772" y="750"/>
                                </a:lnTo>
                                <a:lnTo>
                                  <a:pt x="733" y="770"/>
                                </a:lnTo>
                                <a:lnTo>
                                  <a:pt x="700" y="790"/>
                                </a:lnTo>
                                <a:lnTo>
                                  <a:pt x="672" y="797"/>
                                </a:lnTo>
                                <a:lnTo>
                                  <a:pt x="645" y="811"/>
                                </a:lnTo>
                                <a:lnTo>
                                  <a:pt x="617" y="824"/>
                                </a:lnTo>
                                <a:lnTo>
                                  <a:pt x="589" y="838"/>
                                </a:lnTo>
                                <a:lnTo>
                                  <a:pt x="556" y="865"/>
                                </a:lnTo>
                                <a:lnTo>
                                  <a:pt x="522" y="892"/>
                                </a:lnTo>
                                <a:lnTo>
                                  <a:pt x="500" y="858"/>
                                </a:lnTo>
                                <a:lnTo>
                                  <a:pt x="478" y="831"/>
                                </a:lnTo>
                                <a:lnTo>
                                  <a:pt x="456" y="811"/>
                                </a:lnTo>
                                <a:lnTo>
                                  <a:pt x="433" y="797"/>
                                </a:lnTo>
                                <a:lnTo>
                                  <a:pt x="406" y="784"/>
                                </a:lnTo>
                                <a:lnTo>
                                  <a:pt x="383" y="770"/>
                                </a:lnTo>
                                <a:lnTo>
                                  <a:pt x="361" y="763"/>
                                </a:lnTo>
                                <a:lnTo>
                                  <a:pt x="339" y="757"/>
                                </a:lnTo>
                                <a:lnTo>
                                  <a:pt x="294" y="750"/>
                                </a:lnTo>
                                <a:lnTo>
                                  <a:pt x="244" y="743"/>
                                </a:lnTo>
                                <a:lnTo>
                                  <a:pt x="189" y="730"/>
                                </a:lnTo>
                                <a:lnTo>
                                  <a:pt x="139" y="716"/>
                                </a:lnTo>
                                <a:lnTo>
                                  <a:pt x="89" y="689"/>
                                </a:lnTo>
                                <a:lnTo>
                                  <a:pt x="44" y="662"/>
                                </a:lnTo>
                                <a:lnTo>
                                  <a:pt x="28" y="642"/>
                                </a:lnTo>
                                <a:lnTo>
                                  <a:pt x="17" y="615"/>
                                </a:lnTo>
                                <a:lnTo>
                                  <a:pt x="5" y="588"/>
                                </a:lnTo>
                                <a:lnTo>
                                  <a:pt x="0" y="561"/>
                                </a:lnTo>
                                <a:lnTo>
                                  <a:pt x="0" y="196"/>
                                </a:lnTo>
                                <a:lnTo>
                                  <a:pt x="0" y="176"/>
                                </a:lnTo>
                                <a:lnTo>
                                  <a:pt x="5" y="155"/>
                                </a:lnTo>
                                <a:lnTo>
                                  <a:pt x="11" y="142"/>
                                </a:lnTo>
                                <a:lnTo>
                                  <a:pt x="17" y="122"/>
                                </a:lnTo>
                                <a:lnTo>
                                  <a:pt x="28" y="101"/>
                                </a:lnTo>
                                <a:lnTo>
                                  <a:pt x="44" y="88"/>
                                </a:lnTo>
                                <a:lnTo>
                                  <a:pt x="61" y="68"/>
                                </a:lnTo>
                                <a:lnTo>
                                  <a:pt x="89" y="47"/>
                                </a:lnTo>
                                <a:lnTo>
                                  <a:pt x="111" y="34"/>
                                </a:lnTo>
                                <a:lnTo>
                                  <a:pt x="139" y="20"/>
                                </a:lnTo>
                                <a:lnTo>
                                  <a:pt x="172" y="14"/>
                                </a:lnTo>
                                <a:lnTo>
                                  <a:pt x="200" y="7"/>
                                </a:lnTo>
                                <a:lnTo>
                                  <a:pt x="233" y="7"/>
                                </a:lnTo>
                                <a:lnTo>
                                  <a:pt x="261" y="7"/>
                                </a:lnTo>
                                <a:lnTo>
                                  <a:pt x="294" y="7"/>
                                </a:lnTo>
                                <a:lnTo>
                                  <a:pt x="322" y="20"/>
                                </a:lnTo>
                                <a:lnTo>
                                  <a:pt x="344" y="20"/>
                                </a:lnTo>
                                <a:lnTo>
                                  <a:pt x="367" y="27"/>
                                </a:lnTo>
                                <a:lnTo>
                                  <a:pt x="394" y="27"/>
                                </a:lnTo>
                                <a:lnTo>
                                  <a:pt x="422" y="27"/>
                                </a:lnTo>
                                <a:lnTo>
                                  <a:pt x="444" y="20"/>
                                </a:lnTo>
                                <a:lnTo>
                                  <a:pt x="472" y="20"/>
                                </a:lnTo>
                                <a:lnTo>
                                  <a:pt x="494" y="7"/>
                                </a:lnTo>
                                <a:lnTo>
                                  <a:pt x="511" y="0"/>
                                </a:lnTo>
                                <a:lnTo>
                                  <a:pt x="517" y="14"/>
                                </a:lnTo>
                                <a:lnTo>
                                  <a:pt x="494" y="34"/>
                                </a:lnTo>
                                <a:lnTo>
                                  <a:pt x="472" y="54"/>
                                </a:lnTo>
                                <a:lnTo>
                                  <a:pt x="450" y="68"/>
                                </a:lnTo>
                                <a:lnTo>
                                  <a:pt x="428" y="74"/>
                                </a:lnTo>
                                <a:lnTo>
                                  <a:pt x="400" y="81"/>
                                </a:lnTo>
                                <a:lnTo>
                                  <a:pt x="378" y="81"/>
                                </a:lnTo>
                                <a:lnTo>
                                  <a:pt x="344" y="81"/>
                                </a:lnTo>
                                <a:lnTo>
                                  <a:pt x="317" y="74"/>
                                </a:lnTo>
                                <a:lnTo>
                                  <a:pt x="289" y="68"/>
                                </a:lnTo>
                                <a:lnTo>
                                  <a:pt x="261" y="68"/>
                                </a:lnTo>
                                <a:lnTo>
                                  <a:pt x="233" y="61"/>
                                </a:lnTo>
                                <a:lnTo>
                                  <a:pt x="206" y="68"/>
                                </a:lnTo>
                                <a:lnTo>
                                  <a:pt x="183" y="74"/>
                                </a:lnTo>
                                <a:lnTo>
                                  <a:pt x="161" y="81"/>
                                </a:lnTo>
                                <a:lnTo>
                                  <a:pt x="144" y="95"/>
                                </a:lnTo>
                                <a:lnTo>
                                  <a:pt x="128" y="115"/>
                                </a:lnTo>
                                <a:lnTo>
                                  <a:pt x="122" y="135"/>
                                </a:lnTo>
                                <a:lnTo>
                                  <a:pt x="117" y="149"/>
                                </a:lnTo>
                                <a:lnTo>
                                  <a:pt x="111" y="169"/>
                                </a:lnTo>
                                <a:lnTo>
                                  <a:pt x="111" y="182"/>
                                </a:lnTo>
                                <a:lnTo>
                                  <a:pt x="111" y="203"/>
                                </a:lnTo>
                                <a:lnTo>
                                  <a:pt x="111" y="223"/>
                                </a:lnTo>
                                <a:lnTo>
                                  <a:pt x="106" y="243"/>
                                </a:lnTo>
                                <a:lnTo>
                                  <a:pt x="106" y="264"/>
                                </a:lnTo>
                                <a:lnTo>
                                  <a:pt x="106" y="459"/>
                                </a:lnTo>
                                <a:lnTo>
                                  <a:pt x="111" y="493"/>
                                </a:lnTo>
                                <a:lnTo>
                                  <a:pt x="111" y="527"/>
                                </a:lnTo>
                                <a:lnTo>
                                  <a:pt x="117" y="547"/>
                                </a:lnTo>
                                <a:lnTo>
                                  <a:pt x="122" y="567"/>
                                </a:lnTo>
                                <a:lnTo>
                                  <a:pt x="128" y="588"/>
                                </a:lnTo>
                                <a:lnTo>
                                  <a:pt x="139" y="601"/>
                                </a:lnTo>
                                <a:lnTo>
                                  <a:pt x="156" y="615"/>
                                </a:lnTo>
                                <a:lnTo>
                                  <a:pt x="178" y="628"/>
                                </a:lnTo>
                                <a:lnTo>
                                  <a:pt x="200" y="635"/>
                                </a:lnTo>
                                <a:lnTo>
                                  <a:pt x="228" y="642"/>
                                </a:lnTo>
                                <a:lnTo>
                                  <a:pt x="250" y="649"/>
                                </a:lnTo>
                                <a:lnTo>
                                  <a:pt x="272" y="649"/>
                                </a:lnTo>
                                <a:lnTo>
                                  <a:pt x="294" y="655"/>
                                </a:lnTo>
                                <a:lnTo>
                                  <a:pt x="311" y="655"/>
                                </a:lnTo>
                                <a:lnTo>
                                  <a:pt x="328" y="655"/>
                                </a:lnTo>
                                <a:lnTo>
                                  <a:pt x="339" y="655"/>
                                </a:lnTo>
                                <a:lnTo>
                                  <a:pt x="344" y="662"/>
                                </a:lnTo>
                                <a:lnTo>
                                  <a:pt x="356" y="662"/>
                                </a:lnTo>
                                <a:lnTo>
                                  <a:pt x="378" y="669"/>
                                </a:lnTo>
                                <a:lnTo>
                                  <a:pt x="400" y="676"/>
                                </a:lnTo>
                                <a:lnTo>
                                  <a:pt x="433" y="696"/>
                                </a:lnTo>
                                <a:lnTo>
                                  <a:pt x="461" y="716"/>
                                </a:lnTo>
                                <a:lnTo>
                                  <a:pt x="494" y="743"/>
                                </a:lnTo>
                                <a:lnTo>
                                  <a:pt x="528" y="784"/>
                                </a:lnTo>
                                <a:lnTo>
                                  <a:pt x="539" y="777"/>
                                </a:lnTo>
                                <a:lnTo>
                                  <a:pt x="550" y="770"/>
                                </a:lnTo>
                                <a:lnTo>
                                  <a:pt x="567" y="763"/>
                                </a:lnTo>
                                <a:lnTo>
                                  <a:pt x="578" y="757"/>
                                </a:lnTo>
                                <a:lnTo>
                                  <a:pt x="589" y="750"/>
                                </a:lnTo>
                                <a:lnTo>
                                  <a:pt x="600" y="743"/>
                                </a:lnTo>
                                <a:lnTo>
                                  <a:pt x="617" y="736"/>
                                </a:lnTo>
                                <a:lnTo>
                                  <a:pt x="628" y="730"/>
                                </a:lnTo>
                                <a:lnTo>
                                  <a:pt x="656" y="716"/>
                                </a:lnTo>
                                <a:lnTo>
                                  <a:pt x="678" y="703"/>
                                </a:lnTo>
                                <a:lnTo>
                                  <a:pt x="706" y="682"/>
                                </a:lnTo>
                                <a:lnTo>
                                  <a:pt x="728" y="662"/>
                                </a:lnTo>
                                <a:lnTo>
                                  <a:pt x="745" y="642"/>
                                </a:lnTo>
                                <a:lnTo>
                                  <a:pt x="761" y="621"/>
                                </a:lnTo>
                                <a:lnTo>
                                  <a:pt x="772" y="594"/>
                                </a:lnTo>
                                <a:lnTo>
                                  <a:pt x="778" y="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>
                          <a:off x="2257" y="547"/>
                          <a:ext cx="5882" cy="1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192" w:rsidRPr="00CE7040" w:rsidRDefault="002E3192" w:rsidP="002E3192">
                            <w:pPr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CE7040">
                              <w:rPr>
                                <w:b/>
                                <w:lang w:val="pl-PL"/>
                              </w:rPr>
                              <w:t>BANK SPÓŁDZIELCZY W PIEŃSKU</w:t>
                            </w:r>
                          </w:p>
                          <w:p w:rsidR="002E3192" w:rsidRPr="00E735B2" w:rsidRDefault="002E3192" w:rsidP="002E3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7040">
                              <w:rPr>
                                <w:b/>
                                <w:lang w:val="pl-PL"/>
                              </w:rPr>
                              <w:t xml:space="preserve">59-930 Pieńsk, ul. </w:t>
                            </w:r>
                            <w:r w:rsidRPr="00E735B2">
                              <w:rPr>
                                <w:b/>
                              </w:rPr>
                              <w:t>Staszica 20</w:t>
                            </w:r>
                          </w:p>
                          <w:p w:rsidR="002E3192" w:rsidRDefault="002E3192" w:rsidP="002E319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left:0;text-align:left;margin-left:42.4pt;margin-top:-24.9pt;width:345.55pt;height:63.75pt;z-index:251658240" coordorigin="790,412" coordsize="7349,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">
              <v:group id="Group 28" o:spid="_x0000_s1027" style="position:absolute;left:790;top:412;width:1241;height:899" coordsize="1334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29" o:spid="_x0000_s1028" style="position:absolute;width:1334;height:1155;visibility:visible;mso-wrap-style:square;v-text-anchor:top" coordsize="1334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MGsMA&#10;AADaAAAADwAAAGRycy9kb3ducmV2LnhtbESPUWvCMBSF3wf+h3CFvc3UDYZ2RlFh6Itstv6AS3PX&#10;dmtuShLb+O/NYLDHwznnO5zVJppODOR8a1nBfJaBIK6sbrlWcCnfnxYgfEDW2FkmBTfysFlPHlaY&#10;azvymYYi1CJB2OeooAmhz6X0VUMG/cz2xMn7ss5gSNLVUjscE9x08jnLXqXBltNCgz3tG6p+iqtR&#10;UB7cOJx239VRL0+L6D6LjzIWSj1O4/YNRKAY/sN/7aNW8AK/V9IN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wMGsMAAADaAAAADwAAAAAAAAAAAAAAAACYAgAAZHJzL2Rv&#10;d25yZXYueG1sUEsFBgAAAAAEAAQA9QAAAIgDAAAAAA==&#10;" path="m256,l1334,,1078,1155,,1155,256,xe" fillcolor="#00d929" stroked="f">
                  <v:path arrowok="t" o:connecttype="custom" o:connectlocs="256,0;1334,0;1078,1155;0,1155;256,0" o:connectangles="0,0,0,0,0"/>
                </v:shape>
                <v:shape id="Freeform 30" o:spid="_x0000_s1029" style="position:absolute;left:239;top:135;width:878;height:892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RZAMIA&#10;AADaAAAADwAAAGRycy9kb3ducmV2LnhtbESPQWvCQBSE74X+h+UVems2WhWbZg0SELx4UHvo8ZF9&#10;TUJ334bsmsR/7wqCx2FmvmHyYrJGDNT71rGCWZKCIK6cbrlW8HPefaxB+ICs0TgmBVfyUGxeX3LM&#10;tBv5SMMp1CJC2GeooAmhy6T0VUMWfeI64uj9ud5iiLKvpe5xjHBr5DxNV9Jiy3GhwY7Khqr/08Uq&#10;OJTjzH2G47rE5e9KtqP56pZGqfe3afsNItAUnuFHe68VLOB+Jd4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FkAwgAAANoAAAAPAAAAAAAAAAAAAAAAAJgCAABkcnMvZG93&#10;bnJldi54bWxQSwUGAAAAAAQABAD1AAAAhwMAAAAA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</v:shape>
              </v:group>
              <v:rect id="Rectangle 31" o:spid="_x0000_s1030" style="position:absolute;left:2257;top:547;width:5882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<v:textbox>
                  <w:txbxContent>
                    <w:p w:rsidR="002E3192" w:rsidRPr="00CE7040" w:rsidRDefault="002E3192" w:rsidP="002E3192">
                      <w:pPr>
                        <w:jc w:val="center"/>
                        <w:rPr>
                          <w:b/>
                          <w:lang w:val="pl-PL"/>
                        </w:rPr>
                      </w:pPr>
                      <w:r w:rsidRPr="00CE7040">
                        <w:rPr>
                          <w:b/>
                          <w:lang w:val="pl-PL"/>
                        </w:rPr>
                        <w:t>BANK SPÓŁDZIELCZY W PIEŃSKU</w:t>
                      </w:r>
                    </w:p>
                    <w:p w:rsidR="002E3192" w:rsidRPr="00E735B2" w:rsidRDefault="002E3192" w:rsidP="002E3192">
                      <w:pPr>
                        <w:jc w:val="center"/>
                        <w:rPr>
                          <w:b/>
                        </w:rPr>
                      </w:pPr>
                      <w:r w:rsidRPr="00CE7040">
                        <w:rPr>
                          <w:b/>
                          <w:lang w:val="pl-PL"/>
                        </w:rPr>
                        <w:t xml:space="preserve">59-930 Pieńsk, ul. </w:t>
                      </w:r>
                      <w:r w:rsidRPr="00E735B2">
                        <w:rPr>
                          <w:b/>
                        </w:rPr>
                        <w:t>Staszica 20</w:t>
                      </w:r>
                    </w:p>
                    <w:p w:rsidR="002E3192" w:rsidRDefault="002E3192" w:rsidP="002E319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D1C"/>
    <w:multiLevelType w:val="hybridMultilevel"/>
    <w:tmpl w:val="98F478AE"/>
    <w:lvl w:ilvl="0" w:tplc="2B2EDF7E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03C1197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32061A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A31884"/>
    <w:multiLevelType w:val="hybridMultilevel"/>
    <w:tmpl w:val="8C78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A339A"/>
    <w:multiLevelType w:val="hybridMultilevel"/>
    <w:tmpl w:val="774061FC"/>
    <w:lvl w:ilvl="0" w:tplc="9696773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color w:val="008364"/>
        <w:sz w:val="22"/>
        <w:szCs w:val="22"/>
      </w:rPr>
    </w:lvl>
    <w:lvl w:ilvl="1" w:tplc="79E6DCA0">
      <w:start w:val="1"/>
      <w:numFmt w:val="decimal"/>
      <w:lvlText w:val="%2)"/>
      <w:lvlJc w:val="left"/>
      <w:pPr>
        <w:ind w:left="1770" w:hanging="690"/>
      </w:pPr>
      <w:rPr>
        <w:rFonts w:hint="default"/>
        <w:b/>
        <w:color w:val="008364"/>
      </w:rPr>
    </w:lvl>
    <w:lvl w:ilvl="2" w:tplc="712C3D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7187F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7A2C91"/>
    <w:multiLevelType w:val="hybridMultilevel"/>
    <w:tmpl w:val="31365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C87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008364"/>
      </w:rPr>
    </w:lvl>
    <w:lvl w:ilvl="2" w:tplc="9C224DE8">
      <w:start w:val="1"/>
      <w:numFmt w:val="lowerLetter"/>
      <w:lvlText w:val="%3)"/>
      <w:lvlJc w:val="left"/>
      <w:pPr>
        <w:ind w:left="2024" w:hanging="180"/>
      </w:pPr>
      <w:rPr>
        <w:b/>
        <w:color w:val="00836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90A1B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555CB6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806CBB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974214"/>
    <w:multiLevelType w:val="hybridMultilevel"/>
    <w:tmpl w:val="8414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A5D56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9E7803"/>
    <w:multiLevelType w:val="hybridMultilevel"/>
    <w:tmpl w:val="9EA21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C2551"/>
    <w:multiLevelType w:val="hybridMultilevel"/>
    <w:tmpl w:val="55725F2E"/>
    <w:lvl w:ilvl="0" w:tplc="4A60D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407820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163C10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641100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D22FC2"/>
    <w:multiLevelType w:val="hybridMultilevel"/>
    <w:tmpl w:val="11CE550A"/>
    <w:lvl w:ilvl="0" w:tplc="98FA4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F54254"/>
    <w:multiLevelType w:val="hybridMultilevel"/>
    <w:tmpl w:val="98F478AE"/>
    <w:lvl w:ilvl="0" w:tplc="2B2EDF7E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E247409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0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16"/>
  </w:num>
  <w:num w:numId="10">
    <w:abstractNumId w:val="19"/>
  </w:num>
  <w:num w:numId="11">
    <w:abstractNumId w:val="7"/>
  </w:num>
  <w:num w:numId="12">
    <w:abstractNumId w:val="1"/>
  </w:num>
  <w:num w:numId="13">
    <w:abstractNumId w:val="11"/>
  </w:num>
  <w:num w:numId="14">
    <w:abstractNumId w:val="9"/>
  </w:num>
  <w:num w:numId="15">
    <w:abstractNumId w:val="14"/>
  </w:num>
  <w:num w:numId="16">
    <w:abstractNumId w:val="5"/>
  </w:num>
  <w:num w:numId="17">
    <w:abstractNumId w:val="18"/>
  </w:num>
  <w:num w:numId="18">
    <w:abstractNumId w:val="8"/>
  </w:num>
  <w:num w:numId="19">
    <w:abstractNumId w:val="2"/>
  </w:num>
  <w:num w:numId="20">
    <w:abstractNumId w:val="1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0C"/>
    <w:rsid w:val="00004D8E"/>
    <w:rsid w:val="00013F38"/>
    <w:rsid w:val="00017D64"/>
    <w:rsid w:val="0004746B"/>
    <w:rsid w:val="00097B97"/>
    <w:rsid w:val="00111ADA"/>
    <w:rsid w:val="001226B3"/>
    <w:rsid w:val="00125CF9"/>
    <w:rsid w:val="001465BD"/>
    <w:rsid w:val="001A5E2F"/>
    <w:rsid w:val="00213C50"/>
    <w:rsid w:val="00222CC7"/>
    <w:rsid w:val="002441B6"/>
    <w:rsid w:val="00252350"/>
    <w:rsid w:val="002761B9"/>
    <w:rsid w:val="00295EFB"/>
    <w:rsid w:val="002E3192"/>
    <w:rsid w:val="0030396F"/>
    <w:rsid w:val="0033530B"/>
    <w:rsid w:val="003640D6"/>
    <w:rsid w:val="003916B3"/>
    <w:rsid w:val="003A4B28"/>
    <w:rsid w:val="003D0492"/>
    <w:rsid w:val="004A66E8"/>
    <w:rsid w:val="004B3F35"/>
    <w:rsid w:val="004B7543"/>
    <w:rsid w:val="00502934"/>
    <w:rsid w:val="00531F3A"/>
    <w:rsid w:val="0055040F"/>
    <w:rsid w:val="00575632"/>
    <w:rsid w:val="00576985"/>
    <w:rsid w:val="00585D92"/>
    <w:rsid w:val="005A4213"/>
    <w:rsid w:val="005B4030"/>
    <w:rsid w:val="005B4F9A"/>
    <w:rsid w:val="0062503B"/>
    <w:rsid w:val="00640943"/>
    <w:rsid w:val="006914DA"/>
    <w:rsid w:val="006C102E"/>
    <w:rsid w:val="006C44F7"/>
    <w:rsid w:val="006D4B4C"/>
    <w:rsid w:val="006F7FB1"/>
    <w:rsid w:val="00722DCC"/>
    <w:rsid w:val="00730F71"/>
    <w:rsid w:val="00753D50"/>
    <w:rsid w:val="007543F8"/>
    <w:rsid w:val="00765811"/>
    <w:rsid w:val="0078186C"/>
    <w:rsid w:val="007867C6"/>
    <w:rsid w:val="00796608"/>
    <w:rsid w:val="007A690C"/>
    <w:rsid w:val="007B79AA"/>
    <w:rsid w:val="00832585"/>
    <w:rsid w:val="00883FBB"/>
    <w:rsid w:val="00893551"/>
    <w:rsid w:val="00945E78"/>
    <w:rsid w:val="00965FB9"/>
    <w:rsid w:val="009F73B3"/>
    <w:rsid w:val="00A06480"/>
    <w:rsid w:val="00A81CD4"/>
    <w:rsid w:val="00A94040"/>
    <w:rsid w:val="00B07F19"/>
    <w:rsid w:val="00B15DAA"/>
    <w:rsid w:val="00B42F93"/>
    <w:rsid w:val="00B67057"/>
    <w:rsid w:val="00B72027"/>
    <w:rsid w:val="00B74E4A"/>
    <w:rsid w:val="00B83DAD"/>
    <w:rsid w:val="00BA668C"/>
    <w:rsid w:val="00BF3C0A"/>
    <w:rsid w:val="00C674C4"/>
    <w:rsid w:val="00C8551D"/>
    <w:rsid w:val="00C90D30"/>
    <w:rsid w:val="00C93D77"/>
    <w:rsid w:val="00CD21A0"/>
    <w:rsid w:val="00CE7040"/>
    <w:rsid w:val="00D5552C"/>
    <w:rsid w:val="00D925B6"/>
    <w:rsid w:val="00DC5582"/>
    <w:rsid w:val="00DD1C8D"/>
    <w:rsid w:val="00DD41F6"/>
    <w:rsid w:val="00DE1CBA"/>
    <w:rsid w:val="00DE6160"/>
    <w:rsid w:val="00E46DA0"/>
    <w:rsid w:val="00E52BE1"/>
    <w:rsid w:val="00E67F34"/>
    <w:rsid w:val="00E773F2"/>
    <w:rsid w:val="00F36F4A"/>
    <w:rsid w:val="00F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0C"/>
    <w:pPr>
      <w:spacing w:before="120" w:after="0" w:line="240" w:lineRule="auto"/>
      <w:jc w:val="both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3D7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3D77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585D92"/>
    <w:rPr>
      <w:color w:val="0000FF" w:themeColor="hyperlink"/>
      <w:u w:val="single"/>
    </w:rPr>
  </w:style>
  <w:style w:type="paragraph" w:customStyle="1" w:styleId="Default">
    <w:name w:val="Default"/>
    <w:rsid w:val="00DC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160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16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90C"/>
    <w:pPr>
      <w:spacing w:before="120" w:after="0" w:line="240" w:lineRule="auto"/>
      <w:jc w:val="both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93D7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3D77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585D92"/>
    <w:rPr>
      <w:color w:val="0000FF" w:themeColor="hyperlink"/>
      <w:u w:val="single"/>
    </w:rPr>
  </w:style>
  <w:style w:type="paragraph" w:customStyle="1" w:styleId="Default">
    <w:name w:val="Default"/>
    <w:rsid w:val="00DC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160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1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1B34-B872-4D9A-9039-72079EB0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2758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Chodak</dc:creator>
  <cp:lastModifiedBy>BS</cp:lastModifiedBy>
  <cp:revision>2</cp:revision>
  <cp:lastPrinted>2017-08-23T11:52:00Z</cp:lastPrinted>
  <dcterms:created xsi:type="dcterms:W3CDTF">2018-07-10T09:00:00Z</dcterms:created>
  <dcterms:modified xsi:type="dcterms:W3CDTF">2018-08-03T09:33:00Z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Old">
    <vt:lpwstr>2017-06-26T12:00:38.4979072+02:00</vt:lpwstr>
  </property>
</Properties>
</file>